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3BDF" w14:textId="3AE7944D" w:rsidR="00C71814" w:rsidRPr="00C71814" w:rsidRDefault="00C71814" w:rsidP="00C71814">
      <w:pPr>
        <w:pBdr>
          <w:top w:val="single" w:sz="4" w:space="1" w:color="auto"/>
          <w:left w:val="single" w:sz="4" w:space="4" w:color="auto"/>
          <w:bottom w:val="single" w:sz="4" w:space="1" w:color="auto"/>
          <w:right w:val="single" w:sz="4" w:space="4" w:color="auto"/>
        </w:pBdr>
        <w:spacing w:line="320" w:lineRule="exact"/>
        <w:rPr>
          <w:rFonts w:ascii="Arial" w:hAnsi="Arial" w:cs="Arial"/>
          <w:b/>
          <w:bCs/>
        </w:rPr>
      </w:pPr>
      <w:r w:rsidRPr="00C71814">
        <w:rPr>
          <w:rFonts w:ascii="Arial" w:hAnsi="Arial" w:cs="Arial"/>
          <w:b/>
          <w:bCs/>
        </w:rPr>
        <w:t xml:space="preserve">Zurzeit wurden von den Wasserwerksträgern in der Region noch keine Ausgleichszahlungen für ein Glyphosatverbot gezahlt. </w:t>
      </w:r>
      <w:r w:rsidRPr="00C71814">
        <w:rPr>
          <w:rFonts w:ascii="Arial" w:hAnsi="Arial" w:cs="Arial"/>
          <w:b/>
          <w:bCs/>
        </w:rPr>
        <w:br/>
        <w:t>In den jeweiligen Kooperationen wurde dies erst in jüngster Vergangenheit noch einmal kontrovers diskutiert und seitens der Landwirtschaft die Ausgleichszahlung eingefordert. Zumal es bereits Einzelfälle in Niedersachsen gibt, in denen die Wasserversorger gezahlt haben.</w:t>
      </w:r>
      <w:r w:rsidRPr="00C71814">
        <w:rPr>
          <w:rFonts w:ascii="Arial" w:hAnsi="Arial" w:cs="Arial"/>
          <w:b/>
          <w:bCs/>
        </w:rPr>
        <w:br/>
      </w:r>
      <w:r w:rsidR="00012DD4">
        <w:rPr>
          <w:rFonts w:ascii="Arial" w:hAnsi="Arial" w:cs="Arial"/>
          <w:b/>
          <w:bCs/>
        </w:rPr>
        <w:t>Z</w:t>
      </w:r>
      <w:r w:rsidRPr="00C71814">
        <w:rPr>
          <w:rFonts w:ascii="Arial" w:hAnsi="Arial" w:cs="Arial"/>
          <w:b/>
          <w:bCs/>
        </w:rPr>
        <w:t xml:space="preserve">urzeit </w:t>
      </w:r>
      <w:r w:rsidR="00012DD4">
        <w:rPr>
          <w:rFonts w:ascii="Arial" w:hAnsi="Arial" w:cs="Arial"/>
          <w:b/>
          <w:bCs/>
        </w:rPr>
        <w:t xml:space="preserve">werden </w:t>
      </w:r>
      <w:r w:rsidRPr="00C71814">
        <w:rPr>
          <w:rFonts w:ascii="Arial" w:hAnsi="Arial" w:cs="Arial"/>
          <w:b/>
          <w:bCs/>
        </w:rPr>
        <w:t>die Ausgleichszahlungen vor Gericht erstritten</w:t>
      </w:r>
      <w:r w:rsidR="00012DD4">
        <w:rPr>
          <w:rFonts w:ascii="Arial" w:hAnsi="Arial" w:cs="Arial"/>
          <w:b/>
          <w:bCs/>
        </w:rPr>
        <w:t>.</w:t>
      </w:r>
      <w:r w:rsidRPr="00C71814">
        <w:rPr>
          <w:rFonts w:ascii="Arial" w:hAnsi="Arial" w:cs="Arial"/>
          <w:b/>
          <w:bCs/>
        </w:rPr>
        <w:t xml:space="preserve"> </w:t>
      </w:r>
      <w:r w:rsidRPr="00C71814">
        <w:rPr>
          <w:rFonts w:ascii="Arial" w:hAnsi="Arial" w:cs="Arial"/>
          <w:b/>
          <w:bCs/>
        </w:rPr>
        <w:br/>
        <w:t xml:space="preserve">Es gibt bereits erste LV-Verbände, die Landwirte beim Klageverfahren unterstützen und begleiten. Wir suchen daher auch Landwirte, die bereit wären, die Ausgleichszahlung für das Glyphosatverbot in WSG gerichtlich einzufordern. </w:t>
      </w:r>
      <w:r w:rsidRPr="00C71814">
        <w:rPr>
          <w:rFonts w:ascii="Arial" w:hAnsi="Arial" w:cs="Arial"/>
          <w:b/>
          <w:bCs/>
          <w:u w:val="single"/>
        </w:rPr>
        <w:t xml:space="preserve">Bei Interesse </w:t>
      </w:r>
      <w:r w:rsidR="006E36A6">
        <w:rPr>
          <w:rFonts w:ascii="Arial" w:hAnsi="Arial" w:cs="Arial"/>
          <w:b/>
          <w:bCs/>
          <w:u w:val="single"/>
        </w:rPr>
        <w:t xml:space="preserve">melden Sie sich </w:t>
      </w:r>
      <w:r w:rsidRPr="00C71814">
        <w:rPr>
          <w:rFonts w:ascii="Arial" w:hAnsi="Arial" w:cs="Arial"/>
          <w:b/>
          <w:bCs/>
          <w:u w:val="single"/>
        </w:rPr>
        <w:t xml:space="preserve">bitte kurzfristig in der Geschäftsstelle! </w:t>
      </w:r>
    </w:p>
    <w:p w14:paraId="4E34D950" w14:textId="32674F8D" w:rsidR="00C71814" w:rsidRPr="00C71814" w:rsidRDefault="00C71814" w:rsidP="00C71814">
      <w:pPr>
        <w:pBdr>
          <w:top w:val="single" w:sz="4" w:space="1" w:color="auto"/>
          <w:left w:val="single" w:sz="4" w:space="4" w:color="auto"/>
          <w:bottom w:val="single" w:sz="4" w:space="1" w:color="auto"/>
          <w:right w:val="single" w:sz="4" w:space="4" w:color="auto"/>
        </w:pBdr>
        <w:spacing w:line="320" w:lineRule="exact"/>
        <w:rPr>
          <w:rFonts w:ascii="Arial" w:hAnsi="Arial" w:cs="Arial"/>
          <w:b/>
          <w:bCs/>
        </w:rPr>
      </w:pPr>
      <w:r w:rsidRPr="00C71814">
        <w:rPr>
          <w:rFonts w:ascii="Arial" w:hAnsi="Arial" w:cs="Arial"/>
          <w:b/>
          <w:bCs/>
        </w:rPr>
        <w:t>Zur Wahrung Ihres Anspruchs auf Ausgleich für das Glyphosatverbot 202</w:t>
      </w:r>
      <w:r w:rsidR="00012DD4">
        <w:rPr>
          <w:rFonts w:ascii="Arial" w:hAnsi="Arial" w:cs="Arial"/>
          <w:b/>
          <w:bCs/>
        </w:rPr>
        <w:t>4</w:t>
      </w:r>
      <w:r w:rsidRPr="00C71814">
        <w:rPr>
          <w:rFonts w:ascii="Arial" w:hAnsi="Arial" w:cs="Arial"/>
          <w:b/>
          <w:bCs/>
        </w:rPr>
        <w:t xml:space="preserve"> empfehlen wir Ihnen dringend, auch in diesem Jahr bis zum 31. März einen Antrag beim jeweiligen Wasserversorger und </w:t>
      </w:r>
      <w:r>
        <w:rPr>
          <w:rFonts w:ascii="Arial" w:hAnsi="Arial" w:cs="Arial"/>
          <w:b/>
          <w:bCs/>
        </w:rPr>
        <w:t xml:space="preserve">beim </w:t>
      </w:r>
      <w:r w:rsidRPr="00C71814">
        <w:rPr>
          <w:rFonts w:ascii="Arial" w:hAnsi="Arial" w:cs="Arial"/>
          <w:b/>
          <w:bCs/>
        </w:rPr>
        <w:t>NLWKN zu stellen</w:t>
      </w:r>
      <w:r>
        <w:rPr>
          <w:rFonts w:ascii="Arial" w:hAnsi="Arial" w:cs="Arial"/>
          <w:b/>
          <w:bCs/>
        </w:rPr>
        <w:t>!</w:t>
      </w:r>
    </w:p>
    <w:p w14:paraId="5E207529" w14:textId="77777777" w:rsidR="00C71814" w:rsidRDefault="00C71814" w:rsidP="00C71814">
      <w:pPr>
        <w:rPr>
          <w:rFonts w:ascii="Arial" w:hAnsi="Arial" w:cs="Arial"/>
          <w:b/>
          <w:bCs/>
          <w:highlight w:val="lightGray"/>
        </w:rPr>
      </w:pPr>
    </w:p>
    <w:p w14:paraId="5CDF210B" w14:textId="490E4505" w:rsidR="00C71814" w:rsidRPr="00C71814" w:rsidRDefault="00C71814" w:rsidP="00C71814">
      <w:pPr>
        <w:rPr>
          <w:rFonts w:ascii="Arial" w:hAnsi="Arial" w:cs="Arial"/>
          <w:b/>
          <w:bCs/>
          <w:highlight w:val="lightGray"/>
        </w:rPr>
      </w:pPr>
      <w:r w:rsidRPr="002D2A69">
        <w:rPr>
          <w:rFonts w:ascii="Arial" w:hAnsi="Arial" w:cs="Arial"/>
          <w:b/>
          <w:bCs/>
          <w:highlight w:val="lightGray"/>
        </w:rPr>
        <w:t xml:space="preserve">Erläuterungen zum Musterschreiben für die Geltendmachung einer Ausgleichszahlung für Nachteile durch das Anwendungsverbot von </w:t>
      </w:r>
      <w:proofErr w:type="spellStart"/>
      <w:r w:rsidRPr="002D2A69">
        <w:rPr>
          <w:rFonts w:ascii="Arial" w:hAnsi="Arial" w:cs="Arial"/>
          <w:b/>
          <w:bCs/>
          <w:highlight w:val="lightGray"/>
        </w:rPr>
        <w:t>glyphosathaltigen</w:t>
      </w:r>
      <w:proofErr w:type="spellEnd"/>
      <w:r w:rsidRPr="002D2A69">
        <w:rPr>
          <w:rFonts w:ascii="Arial" w:hAnsi="Arial" w:cs="Arial"/>
          <w:b/>
          <w:bCs/>
          <w:highlight w:val="lightGray"/>
        </w:rPr>
        <w:t xml:space="preserve"> Pflanzenschutzmitteln in Wasserschutzgebieten</w:t>
      </w:r>
      <w:r w:rsidRPr="00C71814">
        <w:rPr>
          <w:rFonts w:ascii="Arial" w:hAnsi="Arial" w:cs="Arial"/>
          <w:b/>
          <w:bCs/>
          <w:highlight w:val="lightGray"/>
        </w:rPr>
        <w:t xml:space="preserve"> in 202</w:t>
      </w:r>
      <w:r w:rsidR="00012DD4">
        <w:rPr>
          <w:rFonts w:ascii="Arial" w:hAnsi="Arial" w:cs="Arial"/>
          <w:b/>
          <w:bCs/>
          <w:highlight w:val="lightGray"/>
        </w:rPr>
        <w:t>4</w:t>
      </w:r>
    </w:p>
    <w:p w14:paraId="43B8A056" w14:textId="77777777" w:rsidR="002A32DC" w:rsidRPr="005066E0" w:rsidRDefault="002A32DC" w:rsidP="00237B27">
      <w:pPr>
        <w:spacing w:line="320" w:lineRule="exact"/>
        <w:rPr>
          <w:rStyle w:val="Fett"/>
          <w:rFonts w:ascii="Arial" w:hAnsi="Arial" w:cs="Arial"/>
          <w:b w:val="0"/>
          <w:bCs w:val="0"/>
        </w:rPr>
      </w:pPr>
      <w:r w:rsidRPr="005066E0">
        <w:rPr>
          <w:rStyle w:val="Fett"/>
          <w:rFonts w:ascii="Arial" w:hAnsi="Arial" w:cs="Arial"/>
          <w:b w:val="0"/>
          <w:bCs w:val="0"/>
        </w:rPr>
        <w:t>Der Einsatz von Glyphosat ist in festgesetzten Wasserschutzgebieten (WSG) seit dem 08.09.2021 verboten. In Trinkwassergewinnungsgebieten, für die keine förmliche Wasserschutzgebietsgrenzen und daher auch keine Schutzverordnung festgelegt sind, gilt das Verbot nicht und es besteht hier auch kein Ausgleichsanspruch.</w:t>
      </w:r>
    </w:p>
    <w:p w14:paraId="01D93E4E" w14:textId="77777777" w:rsidR="00012DD4" w:rsidRDefault="002A32DC" w:rsidP="00237B27">
      <w:pPr>
        <w:spacing w:line="320" w:lineRule="exact"/>
        <w:rPr>
          <w:rStyle w:val="Fett"/>
          <w:rFonts w:ascii="Arial" w:hAnsi="Arial" w:cs="Arial"/>
        </w:rPr>
      </w:pPr>
      <w:r w:rsidRPr="005066E0">
        <w:rPr>
          <w:rStyle w:val="Fett"/>
          <w:rFonts w:ascii="Arial" w:hAnsi="Arial" w:cs="Arial"/>
        </w:rPr>
        <w:t>Für die Geltendmachung des Anspruchs gelten keine Formvorschriften, aber eine gesetzliche Ausschlussfrist</w:t>
      </w:r>
      <w:r w:rsidR="00012DD4">
        <w:rPr>
          <w:rStyle w:val="Fett"/>
          <w:rFonts w:ascii="Arial" w:hAnsi="Arial" w:cs="Arial"/>
        </w:rPr>
        <w:t>.</w:t>
      </w:r>
    </w:p>
    <w:p w14:paraId="1CEBE361" w14:textId="21DB45AC" w:rsidR="00F64942" w:rsidRPr="005066E0" w:rsidRDefault="00F64942" w:rsidP="00237B27">
      <w:pPr>
        <w:spacing w:line="320" w:lineRule="exact"/>
        <w:rPr>
          <w:rStyle w:val="Fett"/>
          <w:rFonts w:ascii="Arial" w:hAnsi="Arial" w:cs="Arial"/>
          <w:b w:val="0"/>
          <w:bCs w:val="0"/>
        </w:rPr>
      </w:pPr>
      <w:r w:rsidRPr="00A433B8">
        <w:rPr>
          <w:rStyle w:val="Fett"/>
          <w:rFonts w:ascii="Arial" w:hAnsi="Arial" w:cs="Arial"/>
        </w:rPr>
        <w:t>Für Nachteile in 202</w:t>
      </w:r>
      <w:r w:rsidR="00012DD4">
        <w:rPr>
          <w:rStyle w:val="Fett"/>
          <w:rFonts w:ascii="Arial" w:hAnsi="Arial" w:cs="Arial"/>
        </w:rPr>
        <w:t>4</w:t>
      </w:r>
      <w:r w:rsidRPr="00A433B8">
        <w:rPr>
          <w:rStyle w:val="Fett"/>
          <w:rFonts w:ascii="Arial" w:hAnsi="Arial" w:cs="Arial"/>
        </w:rPr>
        <w:t xml:space="preserve"> (z. B. zusätzliche mechanische Unkrautbekämpfung oder der Abtötung einer Zwischenfrucht vor Sommerung in Mulchsaat im Frühjahr 202</w:t>
      </w:r>
      <w:r w:rsidR="00012DD4">
        <w:rPr>
          <w:rStyle w:val="Fett"/>
          <w:rFonts w:ascii="Arial" w:hAnsi="Arial" w:cs="Arial"/>
        </w:rPr>
        <w:t>4</w:t>
      </w:r>
      <w:r w:rsidRPr="00A433B8">
        <w:rPr>
          <w:rStyle w:val="Fett"/>
          <w:rFonts w:ascii="Arial" w:hAnsi="Arial" w:cs="Arial"/>
        </w:rPr>
        <w:t>) läuft die Frist am 31. März 202</w:t>
      </w:r>
      <w:r w:rsidR="00012DD4">
        <w:rPr>
          <w:rStyle w:val="Fett"/>
          <w:rFonts w:ascii="Arial" w:hAnsi="Arial" w:cs="Arial"/>
        </w:rPr>
        <w:t>6</w:t>
      </w:r>
      <w:r w:rsidRPr="00A433B8">
        <w:rPr>
          <w:rStyle w:val="Fett"/>
          <w:rFonts w:ascii="Arial" w:hAnsi="Arial" w:cs="Arial"/>
        </w:rPr>
        <w:t xml:space="preserve"> ab</w:t>
      </w:r>
      <w:r w:rsidRPr="005066E0">
        <w:rPr>
          <w:rStyle w:val="Fett"/>
          <w:rFonts w:ascii="Arial" w:hAnsi="Arial" w:cs="Arial"/>
          <w:b w:val="0"/>
          <w:bCs w:val="0"/>
        </w:rPr>
        <w:t>; für Nachteile im Kalenderjahr 202</w:t>
      </w:r>
      <w:r w:rsidR="00012DD4">
        <w:rPr>
          <w:rStyle w:val="Fett"/>
          <w:rFonts w:ascii="Arial" w:hAnsi="Arial" w:cs="Arial"/>
          <w:b w:val="0"/>
          <w:bCs w:val="0"/>
        </w:rPr>
        <w:t>5</w:t>
      </w:r>
      <w:r w:rsidRPr="005066E0">
        <w:rPr>
          <w:rStyle w:val="Fett"/>
          <w:rFonts w:ascii="Arial" w:hAnsi="Arial" w:cs="Arial"/>
          <w:b w:val="0"/>
          <w:bCs w:val="0"/>
        </w:rPr>
        <w:t xml:space="preserve"> am 31. März 202</w:t>
      </w:r>
      <w:r w:rsidR="00012DD4">
        <w:rPr>
          <w:rStyle w:val="Fett"/>
          <w:rFonts w:ascii="Arial" w:hAnsi="Arial" w:cs="Arial"/>
          <w:b w:val="0"/>
          <w:bCs w:val="0"/>
        </w:rPr>
        <w:t>7</w:t>
      </w:r>
      <w:r w:rsidRPr="005066E0">
        <w:rPr>
          <w:rStyle w:val="Fett"/>
          <w:rFonts w:ascii="Arial" w:hAnsi="Arial" w:cs="Arial"/>
          <w:b w:val="0"/>
          <w:bCs w:val="0"/>
        </w:rPr>
        <w:t xml:space="preserve"> usw.</w:t>
      </w:r>
      <w:r w:rsidR="00792D76" w:rsidRPr="005066E0">
        <w:rPr>
          <w:rStyle w:val="Fett"/>
          <w:rFonts w:ascii="Arial" w:hAnsi="Arial" w:cs="Arial"/>
          <w:b w:val="0"/>
          <w:bCs w:val="0"/>
        </w:rPr>
        <w:t xml:space="preserve"> </w:t>
      </w:r>
    </w:p>
    <w:p w14:paraId="207EB571" w14:textId="2DB8D39C" w:rsidR="00E53E8C" w:rsidRDefault="00B019A4" w:rsidP="00237B27">
      <w:pPr>
        <w:spacing w:line="320" w:lineRule="exact"/>
        <w:rPr>
          <w:rStyle w:val="Fett"/>
          <w:rFonts w:ascii="Arial" w:hAnsi="Arial" w:cs="Arial"/>
        </w:rPr>
      </w:pPr>
      <w:r w:rsidRPr="005066E0">
        <w:rPr>
          <w:rStyle w:val="Fett"/>
          <w:rFonts w:ascii="Arial" w:hAnsi="Arial" w:cs="Arial"/>
          <w:b w:val="0"/>
          <w:bCs w:val="0"/>
        </w:rPr>
        <w:t>Zahlungspflichtig ist nach einschlägiger Rechtsmeinung das Wasserversorgungsunternehmen (WVU), das Wasser aus den im Schutzgebiet gelegenen Förderbrunnen entnehmen darf. Ob tatsächlich eine Entnahme erfolgt, ist unerheblich. Das</w:t>
      </w:r>
      <w:r w:rsidR="002A32DC" w:rsidRPr="005066E0">
        <w:rPr>
          <w:rStyle w:val="Fett"/>
          <w:rFonts w:ascii="Arial" w:hAnsi="Arial" w:cs="Arial"/>
          <w:b w:val="0"/>
          <w:bCs w:val="0"/>
        </w:rPr>
        <w:t xml:space="preserve"> </w:t>
      </w:r>
      <w:r w:rsidRPr="005066E0">
        <w:rPr>
          <w:rStyle w:val="Fett"/>
          <w:rFonts w:ascii="Arial" w:hAnsi="Arial" w:cs="Arial"/>
          <w:b w:val="0"/>
          <w:bCs w:val="0"/>
        </w:rPr>
        <w:t>WVU hat grundsätzlich keinen Ermessensspielraum bei der Bemessung der Höhe des Ausgleichs</w:t>
      </w:r>
      <w:r w:rsidR="00792D76" w:rsidRPr="005066E0">
        <w:rPr>
          <w:rStyle w:val="Fett"/>
          <w:rFonts w:ascii="Arial" w:hAnsi="Arial" w:cs="Arial"/>
          <w:b w:val="0"/>
          <w:bCs w:val="0"/>
        </w:rPr>
        <w:t>, kann aber insbesondere im Einvernehmen mit den oftmals bestehenden Kooperationen ein vereinfachtes Verfahren mit Pauschalansätzen für die Geltendmachung anbieten, nicht aber vorschreiben.</w:t>
      </w:r>
      <w:r w:rsidR="00512814" w:rsidRPr="005066E0">
        <w:rPr>
          <w:rStyle w:val="Fett"/>
          <w:rFonts w:ascii="Arial" w:hAnsi="Arial" w:cs="Arial"/>
          <w:b w:val="0"/>
          <w:bCs w:val="0"/>
        </w:rPr>
        <w:t xml:space="preserve"> </w:t>
      </w:r>
      <w:r w:rsidR="00512814" w:rsidRPr="00A433B8">
        <w:rPr>
          <w:rStyle w:val="Fett"/>
          <w:rFonts w:ascii="Arial" w:hAnsi="Arial" w:cs="Arial"/>
        </w:rPr>
        <w:t>Wichtig ist die fristgerechte Geltendmachung bei dem richtigen Wasserversorgungsunternehmen,</w:t>
      </w:r>
      <w:r w:rsidR="00512814" w:rsidRPr="005066E0">
        <w:rPr>
          <w:rStyle w:val="Fett"/>
          <w:rFonts w:ascii="Arial" w:hAnsi="Arial" w:cs="Arial"/>
          <w:b w:val="0"/>
          <w:bCs w:val="0"/>
        </w:rPr>
        <w:t xml:space="preserve"> hier gilt Aufmerksamkeit bei „Gemeinschafts-Kooperationen“, die sich über Wasserschutzgebiete verschiedene</w:t>
      </w:r>
      <w:r w:rsidR="00C05943">
        <w:rPr>
          <w:rStyle w:val="Fett"/>
          <w:rFonts w:ascii="Arial" w:hAnsi="Arial" w:cs="Arial"/>
          <w:b w:val="0"/>
          <w:bCs w:val="0"/>
        </w:rPr>
        <w:t>r</w:t>
      </w:r>
      <w:r w:rsidR="00512814" w:rsidRPr="005066E0">
        <w:rPr>
          <w:rStyle w:val="Fett"/>
          <w:rFonts w:ascii="Arial" w:hAnsi="Arial" w:cs="Arial"/>
          <w:b w:val="0"/>
          <w:bCs w:val="0"/>
        </w:rPr>
        <w:t xml:space="preserve"> WVU erstrecken. Sollte sich aus Gerichtsverfahren ergeben, dass entgegen der einschlägigen Rechtsmeinung das Land Niedersachsen zahlungspflichtig ist, muss auch eine fristgerechte Geltendmachung beim dafür zuständigen NLWKN erfolgen. </w:t>
      </w:r>
      <w:r w:rsidR="00512814" w:rsidRPr="00A433B8">
        <w:rPr>
          <w:rStyle w:val="Fett"/>
          <w:rFonts w:ascii="Arial" w:hAnsi="Arial" w:cs="Arial"/>
        </w:rPr>
        <w:t xml:space="preserve">Daher gilt die dringende Empfehlung, den Anspruch auch </w:t>
      </w:r>
      <w:r w:rsidR="00A433B8">
        <w:rPr>
          <w:rStyle w:val="Fett"/>
          <w:rFonts w:ascii="Arial" w:hAnsi="Arial" w:cs="Arial"/>
        </w:rPr>
        <w:t xml:space="preserve">zusätzlich </w:t>
      </w:r>
      <w:r w:rsidR="00512814" w:rsidRPr="00A433B8">
        <w:rPr>
          <w:rStyle w:val="Fett"/>
          <w:rFonts w:ascii="Arial" w:hAnsi="Arial" w:cs="Arial"/>
        </w:rPr>
        <w:t>an das NLWKN zu richten.</w:t>
      </w:r>
    </w:p>
    <w:p w14:paraId="74DA460A" w14:textId="77777777" w:rsidR="00512814" w:rsidRPr="00A433B8" w:rsidRDefault="00512814" w:rsidP="00A433B8">
      <w:pPr>
        <w:pStyle w:val="StandardWeb"/>
        <w:rPr>
          <w:rFonts w:ascii="Arial" w:hAnsi="Arial" w:cs="Arial"/>
          <w:b/>
          <w:bCs/>
          <w:sz w:val="22"/>
          <w:szCs w:val="22"/>
          <w:u w:val="single"/>
        </w:rPr>
      </w:pPr>
      <w:r w:rsidRPr="00A433B8">
        <w:rPr>
          <w:rFonts w:ascii="Arial" w:hAnsi="Arial" w:cs="Arial"/>
          <w:b/>
          <w:bCs/>
          <w:sz w:val="22"/>
          <w:szCs w:val="22"/>
          <w:u w:val="single"/>
        </w:rPr>
        <w:lastRenderedPageBreak/>
        <w:t>Zur Beweislast und Beweisführung</w:t>
      </w:r>
      <w:r w:rsidR="0068340F" w:rsidRPr="00A433B8">
        <w:rPr>
          <w:rFonts w:ascii="Arial" w:hAnsi="Arial" w:cs="Arial"/>
          <w:b/>
          <w:bCs/>
          <w:sz w:val="22"/>
          <w:szCs w:val="22"/>
          <w:u w:val="single"/>
        </w:rPr>
        <w:t xml:space="preserve"> (</w:t>
      </w:r>
      <w:r w:rsidR="0068340F" w:rsidRPr="00AE4E6F">
        <w:rPr>
          <w:rFonts w:ascii="Arial" w:hAnsi="Arial" w:cs="Arial"/>
          <w:b/>
          <w:bCs/>
          <w:sz w:val="22"/>
          <w:szCs w:val="22"/>
          <w:u w:val="single"/>
          <w:shd w:val="clear" w:color="auto" w:fill="FFFFFF" w:themeFill="background1"/>
        </w:rPr>
        <w:t>Tabelle 1 und 2)</w:t>
      </w:r>
    </w:p>
    <w:p w14:paraId="74BDEAD6" w14:textId="77777777" w:rsidR="00A433B8" w:rsidRDefault="00D1101C" w:rsidP="00237B27">
      <w:pPr>
        <w:pStyle w:val="StandardWeb"/>
        <w:spacing w:line="320" w:lineRule="exact"/>
        <w:rPr>
          <w:rFonts w:ascii="Arial" w:hAnsi="Arial" w:cs="Arial"/>
          <w:sz w:val="22"/>
          <w:szCs w:val="22"/>
        </w:rPr>
      </w:pPr>
      <w:r w:rsidRPr="005066E0">
        <w:rPr>
          <w:rFonts w:ascii="Arial" w:hAnsi="Arial" w:cs="Arial"/>
          <w:sz w:val="22"/>
          <w:szCs w:val="22"/>
        </w:rPr>
        <w:t xml:space="preserve">Ein Anspruch besteht </w:t>
      </w:r>
      <w:r w:rsidR="00512814" w:rsidRPr="005066E0">
        <w:rPr>
          <w:rFonts w:ascii="Arial" w:hAnsi="Arial" w:cs="Arial"/>
          <w:sz w:val="22"/>
          <w:szCs w:val="22"/>
        </w:rPr>
        <w:t xml:space="preserve">nur </w:t>
      </w:r>
      <w:r w:rsidRPr="005066E0">
        <w:rPr>
          <w:rFonts w:ascii="Arial" w:hAnsi="Arial" w:cs="Arial"/>
          <w:sz w:val="22"/>
          <w:szCs w:val="22"/>
        </w:rPr>
        <w:t xml:space="preserve">für </w:t>
      </w:r>
      <w:r w:rsidR="00512814" w:rsidRPr="005066E0">
        <w:rPr>
          <w:rFonts w:ascii="Arial" w:hAnsi="Arial" w:cs="Arial"/>
          <w:sz w:val="22"/>
          <w:szCs w:val="22"/>
        </w:rPr>
        <w:t>diejenigen Flächen,</w:t>
      </w:r>
      <w:r w:rsidRPr="005066E0">
        <w:rPr>
          <w:rFonts w:ascii="Arial" w:hAnsi="Arial" w:cs="Arial"/>
          <w:sz w:val="22"/>
          <w:szCs w:val="22"/>
        </w:rPr>
        <w:t xml:space="preserve"> die </w:t>
      </w:r>
    </w:p>
    <w:p w14:paraId="34E701AA" w14:textId="77777777" w:rsidR="00A433B8" w:rsidRDefault="00D1101C" w:rsidP="00237B27">
      <w:pPr>
        <w:pStyle w:val="StandardWeb"/>
        <w:spacing w:line="320" w:lineRule="exact"/>
        <w:rPr>
          <w:rFonts w:ascii="Arial" w:hAnsi="Arial" w:cs="Arial"/>
          <w:sz w:val="22"/>
          <w:szCs w:val="22"/>
        </w:rPr>
      </w:pPr>
      <w:r w:rsidRPr="005066E0">
        <w:rPr>
          <w:rFonts w:ascii="Arial" w:hAnsi="Arial" w:cs="Arial"/>
          <w:sz w:val="22"/>
          <w:szCs w:val="22"/>
        </w:rPr>
        <w:t xml:space="preserve">a) innerhalb des WSG gelegen sind, </w:t>
      </w:r>
    </w:p>
    <w:p w14:paraId="1D379C38" w14:textId="77777777" w:rsidR="00A433B8" w:rsidRDefault="00D1101C" w:rsidP="00237B27">
      <w:pPr>
        <w:pStyle w:val="StandardWeb"/>
        <w:spacing w:line="320" w:lineRule="exact"/>
        <w:rPr>
          <w:rFonts w:ascii="Arial" w:hAnsi="Arial" w:cs="Arial"/>
          <w:sz w:val="22"/>
          <w:szCs w:val="22"/>
        </w:rPr>
      </w:pPr>
      <w:r w:rsidRPr="005066E0">
        <w:rPr>
          <w:rFonts w:ascii="Arial" w:hAnsi="Arial" w:cs="Arial"/>
          <w:sz w:val="22"/>
          <w:szCs w:val="22"/>
        </w:rPr>
        <w:t xml:space="preserve">b) auf denen kein anderweitiges Verbot der Glyphosatanwendung besteht (Naturschutzgebietsflächen sind daher ausgeschlossen), </w:t>
      </w:r>
    </w:p>
    <w:p w14:paraId="7970D26D" w14:textId="77777777" w:rsidR="00A433B8" w:rsidRDefault="00D1101C" w:rsidP="00237B27">
      <w:pPr>
        <w:pStyle w:val="StandardWeb"/>
        <w:spacing w:line="320" w:lineRule="exact"/>
        <w:rPr>
          <w:rFonts w:ascii="Arial" w:hAnsi="Arial" w:cs="Arial"/>
          <w:sz w:val="22"/>
          <w:szCs w:val="22"/>
        </w:rPr>
      </w:pPr>
      <w:r w:rsidRPr="005066E0">
        <w:rPr>
          <w:rFonts w:ascii="Arial" w:hAnsi="Arial" w:cs="Arial"/>
          <w:sz w:val="22"/>
          <w:szCs w:val="22"/>
        </w:rPr>
        <w:t xml:space="preserve">c) auf denen keine freiwillige Vereinbarung mit einem PSM-Anwendungsverbot mit dem WVU oder dem Land (AUKM) bestanden hat und </w:t>
      </w:r>
    </w:p>
    <w:p w14:paraId="7845A7BD" w14:textId="77777777" w:rsidR="00A433B8" w:rsidRDefault="00D1101C" w:rsidP="00237B27">
      <w:pPr>
        <w:pStyle w:val="StandardWeb"/>
        <w:spacing w:line="320" w:lineRule="exact"/>
        <w:rPr>
          <w:rStyle w:val="Fett"/>
          <w:rFonts w:ascii="Arial" w:hAnsi="Arial" w:cs="Arial"/>
          <w:b w:val="0"/>
          <w:bCs w:val="0"/>
          <w:sz w:val="22"/>
          <w:szCs w:val="22"/>
        </w:rPr>
      </w:pPr>
      <w:r w:rsidRPr="005066E0">
        <w:rPr>
          <w:rFonts w:ascii="Arial" w:hAnsi="Arial" w:cs="Arial"/>
          <w:sz w:val="22"/>
          <w:szCs w:val="22"/>
        </w:rPr>
        <w:t>d)</w:t>
      </w:r>
      <w:r w:rsidR="00512814" w:rsidRPr="005066E0">
        <w:rPr>
          <w:rStyle w:val="Fett"/>
          <w:rFonts w:ascii="Arial" w:eastAsia="Arial" w:hAnsi="Arial" w:cs="Arial"/>
          <w:b w:val="0"/>
          <w:bCs w:val="0"/>
          <w:sz w:val="22"/>
          <w:szCs w:val="22"/>
        </w:rPr>
        <w:t xml:space="preserve"> auf denen </w:t>
      </w:r>
      <w:r w:rsidR="005F62ED" w:rsidRPr="005066E0">
        <w:rPr>
          <w:rStyle w:val="Fett"/>
          <w:rFonts w:ascii="Arial" w:hAnsi="Arial" w:cs="Arial"/>
          <w:b w:val="0"/>
          <w:bCs w:val="0"/>
          <w:sz w:val="22"/>
          <w:szCs w:val="22"/>
        </w:rPr>
        <w:t xml:space="preserve">unter Beachtung der gesetzlichen Ausschlüsse </w:t>
      </w:r>
      <w:r w:rsidR="00512814" w:rsidRPr="005066E0">
        <w:rPr>
          <w:rStyle w:val="Fett"/>
          <w:rFonts w:ascii="Arial" w:eastAsia="Arial" w:hAnsi="Arial" w:cs="Arial"/>
          <w:b w:val="0"/>
          <w:bCs w:val="0"/>
          <w:sz w:val="22"/>
          <w:szCs w:val="22"/>
        </w:rPr>
        <w:t xml:space="preserve">tatsächlich Glyphosat angewendet </w:t>
      </w:r>
      <w:r w:rsidR="005F62ED" w:rsidRPr="005066E0">
        <w:rPr>
          <w:rStyle w:val="Fett"/>
          <w:rFonts w:ascii="Arial" w:hAnsi="Arial" w:cs="Arial"/>
          <w:b w:val="0"/>
          <w:bCs w:val="0"/>
          <w:sz w:val="22"/>
          <w:szCs w:val="22"/>
        </w:rPr>
        <w:t xml:space="preserve">worden wäre. </w:t>
      </w:r>
    </w:p>
    <w:p w14:paraId="2340FF83" w14:textId="77777777" w:rsidR="00512814" w:rsidRPr="005066E0" w:rsidRDefault="005F62ED" w:rsidP="00237B27">
      <w:pPr>
        <w:pStyle w:val="StandardWeb"/>
        <w:spacing w:line="320" w:lineRule="exact"/>
        <w:rPr>
          <w:rStyle w:val="Fett"/>
          <w:rFonts w:ascii="Arial" w:hAnsi="Arial" w:cs="Arial"/>
          <w:b w:val="0"/>
          <w:bCs w:val="0"/>
          <w:sz w:val="22"/>
          <w:szCs w:val="22"/>
        </w:rPr>
      </w:pPr>
      <w:r w:rsidRPr="005066E0">
        <w:rPr>
          <w:rStyle w:val="Fett"/>
          <w:rFonts w:ascii="Arial" w:hAnsi="Arial" w:cs="Arial"/>
          <w:b w:val="0"/>
          <w:bCs w:val="0"/>
          <w:sz w:val="22"/>
          <w:szCs w:val="22"/>
        </w:rPr>
        <w:t xml:space="preserve">Daher gehört zur Beweisführung immer die konkrete Benennung der Fläche nach Lage und Größe im Rahmen des behandlungsbedürftigen Umfangs (z. B. bei </w:t>
      </w:r>
      <w:proofErr w:type="spellStart"/>
      <w:r w:rsidRPr="005066E0">
        <w:rPr>
          <w:rStyle w:val="Fett"/>
          <w:rFonts w:ascii="Arial" w:hAnsi="Arial" w:cs="Arial"/>
          <w:b w:val="0"/>
          <w:bCs w:val="0"/>
          <w:sz w:val="22"/>
          <w:szCs w:val="22"/>
        </w:rPr>
        <w:t>Verqueckung</w:t>
      </w:r>
      <w:proofErr w:type="spellEnd"/>
      <w:r w:rsidRPr="005066E0">
        <w:rPr>
          <w:rStyle w:val="Fett"/>
          <w:rFonts w:ascii="Arial" w:hAnsi="Arial" w:cs="Arial"/>
          <w:b w:val="0"/>
          <w:bCs w:val="0"/>
          <w:sz w:val="22"/>
          <w:szCs w:val="22"/>
        </w:rPr>
        <w:t xml:space="preserve"> am Rand des Schlages nur das entsprechende Teilstück) </w:t>
      </w:r>
      <w:r w:rsidRPr="00A433B8">
        <w:rPr>
          <w:rStyle w:val="Fett"/>
          <w:rFonts w:ascii="Arial" w:hAnsi="Arial" w:cs="Arial"/>
          <w:sz w:val="22"/>
          <w:szCs w:val="22"/>
        </w:rPr>
        <w:t>und die Benennung der Indikation der Behandlung.</w:t>
      </w:r>
      <w:r w:rsidR="00A433B8">
        <w:rPr>
          <w:rStyle w:val="Fett"/>
          <w:rFonts w:ascii="Arial" w:hAnsi="Arial" w:cs="Arial"/>
          <w:b w:val="0"/>
          <w:bCs w:val="0"/>
          <w:sz w:val="22"/>
          <w:szCs w:val="22"/>
        </w:rPr>
        <w:t xml:space="preserve"> </w:t>
      </w:r>
      <w:r w:rsidRPr="005066E0">
        <w:rPr>
          <w:rStyle w:val="Fett"/>
          <w:rFonts w:ascii="Arial" w:hAnsi="Arial" w:cs="Arial"/>
          <w:b w:val="0"/>
          <w:bCs w:val="0"/>
          <w:sz w:val="22"/>
          <w:szCs w:val="22"/>
        </w:rPr>
        <w:t xml:space="preserve">Da sowohl für die Berechnung des Nachteils als auch </w:t>
      </w:r>
      <w:r w:rsidR="00BA7A6A" w:rsidRPr="005066E0">
        <w:rPr>
          <w:rStyle w:val="Fett"/>
          <w:rFonts w:ascii="Arial" w:hAnsi="Arial" w:cs="Arial"/>
          <w:b w:val="0"/>
          <w:bCs w:val="0"/>
          <w:sz w:val="22"/>
          <w:szCs w:val="22"/>
        </w:rPr>
        <w:t xml:space="preserve">für die Prüfung der Indikation oftmals die Vorfrucht, ggf. angebaute Zwischenfrüchte und die Hauptkultur relevant sind, sind diese Parameter neben Lage und Größe in </w:t>
      </w:r>
      <w:r w:rsidR="00BA7A6A" w:rsidRPr="00012DD4">
        <w:rPr>
          <w:rStyle w:val="Fett"/>
          <w:rFonts w:ascii="Arial" w:hAnsi="Arial" w:cs="Arial"/>
          <w:sz w:val="22"/>
          <w:szCs w:val="22"/>
        </w:rPr>
        <w:t>Tabelle 1</w:t>
      </w:r>
      <w:r w:rsidR="00BA7A6A" w:rsidRPr="005066E0">
        <w:rPr>
          <w:rStyle w:val="Fett"/>
          <w:rFonts w:ascii="Arial" w:hAnsi="Arial" w:cs="Arial"/>
          <w:b w:val="0"/>
          <w:bCs w:val="0"/>
          <w:sz w:val="22"/>
          <w:szCs w:val="22"/>
        </w:rPr>
        <w:t xml:space="preserve"> einzutragen. Wir halten es nicht für erforderlich, Lagepläne bzw. Karten mit Einzeichnung des jeweils behandlungsbedürftigen Schlages oder Teilschlages einzureichen</w:t>
      </w:r>
      <w:r w:rsidR="0068340F" w:rsidRPr="005066E0">
        <w:rPr>
          <w:rStyle w:val="Fett"/>
          <w:rFonts w:ascii="Arial" w:hAnsi="Arial" w:cs="Arial"/>
          <w:b w:val="0"/>
          <w:bCs w:val="0"/>
          <w:sz w:val="22"/>
          <w:szCs w:val="22"/>
        </w:rPr>
        <w:t>.</w:t>
      </w:r>
      <w:r w:rsidR="00A433B8">
        <w:rPr>
          <w:rStyle w:val="Fett"/>
          <w:rFonts w:ascii="Arial" w:hAnsi="Arial" w:cs="Arial"/>
          <w:b w:val="0"/>
          <w:bCs w:val="0"/>
          <w:sz w:val="22"/>
          <w:szCs w:val="22"/>
        </w:rPr>
        <w:t xml:space="preserve"> </w:t>
      </w:r>
      <w:r w:rsidR="0068340F" w:rsidRPr="005066E0">
        <w:rPr>
          <w:rStyle w:val="Fett"/>
          <w:rFonts w:ascii="Arial" w:hAnsi="Arial" w:cs="Arial"/>
          <w:b w:val="0"/>
          <w:bCs w:val="0"/>
          <w:sz w:val="22"/>
          <w:szCs w:val="22"/>
        </w:rPr>
        <w:t>Ab</w:t>
      </w:r>
      <w:r w:rsidR="00BA7A6A" w:rsidRPr="005066E0">
        <w:rPr>
          <w:rStyle w:val="Fett"/>
          <w:rFonts w:ascii="Arial" w:hAnsi="Arial" w:cs="Arial"/>
          <w:b w:val="0"/>
          <w:bCs w:val="0"/>
          <w:sz w:val="22"/>
          <w:szCs w:val="22"/>
        </w:rPr>
        <w:t>er es sind Daten beizufügen, die es dem WVU über öffentlich zugängliche Methoden erlauben, die Flächen zu identifizieren. Dazu sind besonders die Flächennutzungs</w:t>
      </w:r>
      <w:r w:rsidR="0068340F" w:rsidRPr="005066E0">
        <w:rPr>
          <w:rStyle w:val="Fett"/>
          <w:rFonts w:ascii="Arial" w:hAnsi="Arial" w:cs="Arial"/>
          <w:b w:val="0"/>
          <w:bCs w:val="0"/>
          <w:sz w:val="22"/>
          <w:szCs w:val="22"/>
        </w:rPr>
        <w:t>nachweise aus den GAP-Anträgen geeignet, andernfalls kommt man ohne eine Bezeichnung des/der betroffenen Flurstücke nach Liegenschaftskataster nicht weiter.</w:t>
      </w:r>
    </w:p>
    <w:p w14:paraId="0F971631" w14:textId="77777777" w:rsidR="00E37116" w:rsidRPr="005066E0" w:rsidRDefault="0068340F" w:rsidP="00237B27">
      <w:pPr>
        <w:pStyle w:val="StandardWeb"/>
        <w:spacing w:line="320" w:lineRule="exact"/>
        <w:rPr>
          <w:rStyle w:val="Fett"/>
          <w:rFonts w:ascii="Arial" w:hAnsi="Arial" w:cs="Arial"/>
          <w:b w:val="0"/>
          <w:bCs w:val="0"/>
          <w:sz w:val="22"/>
          <w:szCs w:val="22"/>
        </w:rPr>
      </w:pPr>
      <w:r w:rsidRPr="00A433B8">
        <w:rPr>
          <w:rStyle w:val="Fett"/>
          <w:rFonts w:ascii="Arial" w:hAnsi="Arial" w:cs="Arial"/>
          <w:sz w:val="22"/>
          <w:szCs w:val="22"/>
        </w:rPr>
        <w:t>Die Indikation ist anzugeben</w:t>
      </w:r>
      <w:r w:rsidRPr="005066E0">
        <w:rPr>
          <w:rStyle w:val="Fett"/>
          <w:rFonts w:ascii="Arial" w:hAnsi="Arial" w:cs="Arial"/>
          <w:b w:val="0"/>
          <w:bCs w:val="0"/>
          <w:sz w:val="22"/>
          <w:szCs w:val="22"/>
        </w:rPr>
        <w:t xml:space="preserve">, auch um auf dieser Basis den Mehraufwand korrekt darstellen zu können, wie z. B. die Einordnung in die verschiedenen Fallgestaltungen der Berechnungsgrundlage der LWK Niedersachsen. </w:t>
      </w:r>
    </w:p>
    <w:p w14:paraId="323B01DC" w14:textId="1179AB9D" w:rsidR="00E37116" w:rsidRPr="005066E0" w:rsidRDefault="00E37116" w:rsidP="00237B27">
      <w:pPr>
        <w:pStyle w:val="StandardWeb"/>
        <w:spacing w:line="320" w:lineRule="exact"/>
        <w:rPr>
          <w:rStyle w:val="Fett"/>
          <w:rFonts w:ascii="Arial" w:hAnsi="Arial" w:cs="Arial"/>
          <w:b w:val="0"/>
          <w:bCs w:val="0"/>
          <w:sz w:val="22"/>
          <w:szCs w:val="22"/>
        </w:rPr>
      </w:pPr>
      <w:r w:rsidRPr="005066E0">
        <w:rPr>
          <w:rStyle w:val="Fett"/>
          <w:rFonts w:ascii="Arial" w:hAnsi="Arial" w:cs="Arial"/>
          <w:b w:val="0"/>
          <w:bCs w:val="0"/>
          <w:sz w:val="22"/>
          <w:szCs w:val="22"/>
        </w:rPr>
        <w:t>Wenn der Platz in der Tabelle</w:t>
      </w:r>
      <w:r w:rsidR="00012DD4">
        <w:rPr>
          <w:rStyle w:val="Fett"/>
          <w:rFonts w:ascii="Arial" w:hAnsi="Arial" w:cs="Arial"/>
          <w:b w:val="0"/>
          <w:bCs w:val="0"/>
          <w:sz w:val="22"/>
          <w:szCs w:val="22"/>
        </w:rPr>
        <w:t xml:space="preserve"> 1</w:t>
      </w:r>
      <w:r w:rsidRPr="005066E0">
        <w:rPr>
          <w:rStyle w:val="Fett"/>
          <w:rFonts w:ascii="Arial" w:hAnsi="Arial" w:cs="Arial"/>
          <w:b w:val="0"/>
          <w:bCs w:val="0"/>
          <w:sz w:val="22"/>
          <w:szCs w:val="22"/>
        </w:rPr>
        <w:t xml:space="preserve"> im Musterschreiben nicht ausreicht, kann die Tabelle über ein Textverarbeitungsprogramm jederzeit um weitere Zeilen oder breitere Zeilen ergänzt werden</w:t>
      </w:r>
      <w:r w:rsidR="00012DD4">
        <w:rPr>
          <w:rStyle w:val="Fett"/>
          <w:rFonts w:ascii="Arial" w:hAnsi="Arial" w:cs="Arial"/>
          <w:b w:val="0"/>
          <w:bCs w:val="0"/>
          <w:sz w:val="22"/>
          <w:szCs w:val="22"/>
        </w:rPr>
        <w:t xml:space="preserve">. Wenn nicht </w:t>
      </w:r>
      <w:r w:rsidR="0094157D">
        <w:rPr>
          <w:rStyle w:val="Fett"/>
          <w:rFonts w:ascii="Arial" w:hAnsi="Arial" w:cs="Arial"/>
          <w:b w:val="0"/>
          <w:bCs w:val="0"/>
          <w:sz w:val="22"/>
          <w:szCs w:val="22"/>
        </w:rPr>
        <w:t>möglich, Blankotabelle herunterladen.</w:t>
      </w:r>
      <w:r w:rsidRPr="005066E0">
        <w:rPr>
          <w:rStyle w:val="Fett"/>
          <w:rFonts w:ascii="Arial" w:hAnsi="Arial" w:cs="Arial"/>
          <w:b w:val="0"/>
          <w:bCs w:val="0"/>
          <w:sz w:val="22"/>
          <w:szCs w:val="22"/>
        </w:rPr>
        <w:t xml:space="preserve"> </w:t>
      </w:r>
      <w:r w:rsidR="00FD40AE" w:rsidRPr="00A433B8">
        <w:rPr>
          <w:rStyle w:val="Fett"/>
          <w:rFonts w:ascii="Arial" w:hAnsi="Arial" w:cs="Arial"/>
          <w:sz w:val="22"/>
          <w:szCs w:val="22"/>
        </w:rPr>
        <w:t xml:space="preserve">Sofern ein Betrieb von mehreren Wasserschutzgebieten betroffen ist, empfehlen wir grundsätzlich eine getrennte Geltendmachung für jedes Gebiet, auch um die Gefahr zu vermeiden, dass eine </w:t>
      </w:r>
      <w:proofErr w:type="spellStart"/>
      <w:r w:rsidR="00FD40AE" w:rsidRPr="00A433B8">
        <w:rPr>
          <w:rStyle w:val="Fett"/>
          <w:rFonts w:ascii="Arial" w:hAnsi="Arial" w:cs="Arial"/>
          <w:sz w:val="22"/>
          <w:szCs w:val="22"/>
        </w:rPr>
        <w:t>Anspruchstellung</w:t>
      </w:r>
      <w:proofErr w:type="spellEnd"/>
      <w:r w:rsidR="00FD40AE" w:rsidRPr="00A433B8">
        <w:rPr>
          <w:rStyle w:val="Fett"/>
          <w:rFonts w:ascii="Arial" w:hAnsi="Arial" w:cs="Arial"/>
          <w:sz w:val="22"/>
          <w:szCs w:val="22"/>
        </w:rPr>
        <w:t xml:space="preserve"> verfristet, weil die Gebiete unterschiedlichen WVU zuzuordnen sind!</w:t>
      </w:r>
    </w:p>
    <w:p w14:paraId="795E0BBE" w14:textId="77777777" w:rsidR="0094157D" w:rsidRDefault="0094157D" w:rsidP="00A433B8">
      <w:pPr>
        <w:pStyle w:val="StandardWeb"/>
        <w:rPr>
          <w:rStyle w:val="Fett"/>
          <w:rFonts w:ascii="Arial" w:hAnsi="Arial" w:cs="Arial"/>
          <w:sz w:val="22"/>
          <w:szCs w:val="22"/>
          <w:u w:val="single"/>
          <w:shd w:val="clear" w:color="auto" w:fill="00B0F0"/>
        </w:rPr>
      </w:pPr>
    </w:p>
    <w:p w14:paraId="2395DDEA" w14:textId="0D673E10" w:rsidR="00A433B8" w:rsidRDefault="00E37116" w:rsidP="0094157D">
      <w:pPr>
        <w:pStyle w:val="StandardWeb"/>
        <w:rPr>
          <w:rFonts w:ascii="Arial" w:hAnsi="Arial" w:cs="Arial"/>
          <w:sz w:val="22"/>
          <w:szCs w:val="22"/>
        </w:rPr>
      </w:pPr>
      <w:r w:rsidRPr="0094157D">
        <w:rPr>
          <w:rStyle w:val="Fett"/>
          <w:rFonts w:ascii="Arial" w:hAnsi="Arial" w:cs="Arial"/>
          <w:sz w:val="22"/>
          <w:szCs w:val="22"/>
          <w:u w:val="single"/>
        </w:rPr>
        <w:t>Betrieblicher Kostenaufwand (Nachteilsberechnung Tabelle 3)</w:t>
      </w:r>
      <w:r w:rsidR="0094157D">
        <w:rPr>
          <w:rStyle w:val="Fett"/>
          <w:rFonts w:ascii="Arial" w:hAnsi="Arial" w:cs="Arial"/>
          <w:sz w:val="22"/>
          <w:szCs w:val="22"/>
          <w:u w:val="single"/>
        </w:rPr>
        <w:br/>
      </w:r>
      <w:r w:rsidRPr="005066E0">
        <w:rPr>
          <w:rStyle w:val="Fett"/>
          <w:rFonts w:ascii="Arial" w:hAnsi="Arial" w:cs="Arial"/>
          <w:b w:val="0"/>
          <w:bCs w:val="0"/>
          <w:sz w:val="22"/>
          <w:szCs w:val="22"/>
        </w:rPr>
        <w:t>In dem vom Landvolk vorgeschlagenen Vorgehen orientieren wir uns an de</w:t>
      </w:r>
      <w:r w:rsidR="00C05943">
        <w:rPr>
          <w:rStyle w:val="Fett"/>
          <w:rFonts w:ascii="Arial" w:hAnsi="Arial" w:cs="Arial"/>
          <w:b w:val="0"/>
          <w:bCs w:val="0"/>
          <w:sz w:val="22"/>
          <w:szCs w:val="22"/>
        </w:rPr>
        <w:t>n</w:t>
      </w:r>
      <w:r w:rsidRPr="005066E0">
        <w:rPr>
          <w:rStyle w:val="Fett"/>
          <w:rFonts w:ascii="Arial" w:hAnsi="Arial" w:cs="Arial"/>
          <w:b w:val="0"/>
          <w:bCs w:val="0"/>
          <w:sz w:val="22"/>
          <w:szCs w:val="22"/>
        </w:rPr>
        <w:t xml:space="preserve"> Berechnungsgrundlagen der LWK Niedersachsen</w:t>
      </w:r>
      <w:r w:rsidR="00E75400" w:rsidRPr="005066E0">
        <w:rPr>
          <w:rStyle w:val="Fett"/>
          <w:rFonts w:ascii="Arial" w:hAnsi="Arial" w:cs="Arial"/>
          <w:b w:val="0"/>
          <w:bCs w:val="0"/>
          <w:sz w:val="22"/>
          <w:szCs w:val="22"/>
        </w:rPr>
        <w:t xml:space="preserve">, die von den </w:t>
      </w:r>
      <w:r w:rsidR="00A433B8">
        <w:rPr>
          <w:rStyle w:val="Fett"/>
          <w:rFonts w:ascii="Arial" w:hAnsi="Arial" w:cs="Arial"/>
          <w:b w:val="0"/>
          <w:bCs w:val="0"/>
          <w:sz w:val="22"/>
          <w:szCs w:val="22"/>
        </w:rPr>
        <w:t>LWK-</w:t>
      </w:r>
      <w:r w:rsidR="00E75400" w:rsidRPr="005066E0">
        <w:rPr>
          <w:rStyle w:val="Fett"/>
          <w:rFonts w:ascii="Arial" w:hAnsi="Arial" w:cs="Arial"/>
          <w:b w:val="0"/>
          <w:bCs w:val="0"/>
          <w:sz w:val="22"/>
          <w:szCs w:val="22"/>
        </w:rPr>
        <w:t>Experten für Pflanzenbau</w:t>
      </w:r>
      <w:r w:rsidR="00A433B8">
        <w:rPr>
          <w:rStyle w:val="Fett"/>
          <w:rFonts w:ascii="Arial" w:hAnsi="Arial" w:cs="Arial"/>
          <w:b w:val="0"/>
          <w:bCs w:val="0"/>
          <w:sz w:val="22"/>
          <w:szCs w:val="22"/>
        </w:rPr>
        <w:t>, Pflanzenschutz</w:t>
      </w:r>
      <w:r w:rsidR="00E75400" w:rsidRPr="005066E0">
        <w:rPr>
          <w:rStyle w:val="Fett"/>
          <w:rFonts w:ascii="Arial" w:hAnsi="Arial" w:cs="Arial"/>
          <w:b w:val="0"/>
          <w:bCs w:val="0"/>
          <w:sz w:val="22"/>
          <w:szCs w:val="22"/>
        </w:rPr>
        <w:t xml:space="preserve"> und Betriebswirtschaft dazu erarbeitet wurden. </w:t>
      </w:r>
      <w:r w:rsidR="00E75400" w:rsidRPr="005066E0">
        <w:rPr>
          <w:rFonts w:ascii="Arial" w:hAnsi="Arial" w:cs="Arial"/>
          <w:sz w:val="22"/>
          <w:szCs w:val="22"/>
        </w:rPr>
        <w:t xml:space="preserve">Diese Grundlagen berücksichtigen eine durchschnittliche Betroffenheit der regionalspezifischen niedersächsischen Anbausysteme vor dem Hintergrund der Schadensminderungspflicht gem. § 254 BGB. </w:t>
      </w:r>
    </w:p>
    <w:p w14:paraId="476F2922" w14:textId="16CEEA41" w:rsidR="00CC402A" w:rsidRPr="005066E0" w:rsidRDefault="00E75400" w:rsidP="00237B27">
      <w:pPr>
        <w:pStyle w:val="StandardWeb"/>
        <w:spacing w:line="320" w:lineRule="exact"/>
        <w:rPr>
          <w:rStyle w:val="Flietext295pt"/>
          <w:sz w:val="22"/>
          <w:szCs w:val="22"/>
        </w:rPr>
      </w:pPr>
      <w:r w:rsidRPr="005066E0">
        <w:rPr>
          <w:rFonts w:ascii="Arial" w:hAnsi="Arial" w:cs="Arial"/>
          <w:sz w:val="22"/>
          <w:szCs w:val="22"/>
        </w:rPr>
        <w:lastRenderedPageBreak/>
        <w:t xml:space="preserve">Anders es als auf der Internetseite der LWK Niedersachsen vorgeschlagen wird, handelt es sich hier aber um </w:t>
      </w:r>
      <w:r w:rsidRPr="00A433B8">
        <w:rPr>
          <w:rFonts w:ascii="Arial" w:hAnsi="Arial" w:cs="Arial"/>
          <w:b/>
          <w:bCs/>
          <w:sz w:val="22"/>
          <w:szCs w:val="22"/>
        </w:rPr>
        <w:t>eine Einzelfallberechnung</w:t>
      </w:r>
      <w:r w:rsidRPr="005066E0">
        <w:rPr>
          <w:rFonts w:ascii="Arial" w:hAnsi="Arial" w:cs="Arial"/>
          <w:sz w:val="22"/>
          <w:szCs w:val="22"/>
        </w:rPr>
        <w:t xml:space="preserve"> und nicht um die Ermittlung in den Kooperationen abzustimmenden Pauschalbetrages. </w:t>
      </w:r>
      <w:r w:rsidRPr="005066E0">
        <w:rPr>
          <w:rStyle w:val="Fett"/>
          <w:rFonts w:ascii="Arial" w:hAnsi="Arial" w:cs="Arial"/>
          <w:b w:val="0"/>
          <w:bCs w:val="0"/>
          <w:sz w:val="22"/>
          <w:szCs w:val="22"/>
        </w:rPr>
        <w:t xml:space="preserve">Dazu muss die entsprechende Fläche einer </w:t>
      </w:r>
      <w:r w:rsidRPr="002C1A30">
        <w:rPr>
          <w:rStyle w:val="Fett"/>
          <w:rFonts w:ascii="Arial" w:hAnsi="Arial" w:cs="Arial"/>
          <w:sz w:val="22"/>
          <w:szCs w:val="22"/>
        </w:rPr>
        <w:t>passenden Fallgestaltung nach de</w:t>
      </w:r>
      <w:r w:rsidR="00826D4C" w:rsidRPr="002C1A30">
        <w:rPr>
          <w:rStyle w:val="Fett"/>
          <w:rFonts w:ascii="Arial" w:hAnsi="Arial" w:cs="Arial"/>
          <w:sz w:val="22"/>
          <w:szCs w:val="22"/>
        </w:rPr>
        <w:t>m Tabellenblatt 3</w:t>
      </w:r>
      <w:r w:rsidR="00826D4C" w:rsidRPr="005066E0">
        <w:rPr>
          <w:rStyle w:val="Fett"/>
          <w:rFonts w:ascii="Arial" w:hAnsi="Arial" w:cs="Arial"/>
          <w:b w:val="0"/>
          <w:bCs w:val="0"/>
          <w:sz w:val="22"/>
          <w:szCs w:val="22"/>
        </w:rPr>
        <w:t xml:space="preserve"> </w:t>
      </w:r>
      <w:r w:rsidR="00826D4C" w:rsidRPr="002C1A30">
        <w:rPr>
          <w:rStyle w:val="Fett"/>
          <w:rFonts w:ascii="Arial" w:hAnsi="Arial" w:cs="Arial"/>
          <w:sz w:val="22"/>
          <w:szCs w:val="22"/>
        </w:rPr>
        <w:t>der Exceltabelle der LWK</w:t>
      </w:r>
      <w:r w:rsidR="001855AE">
        <w:rPr>
          <w:rStyle w:val="Fett"/>
          <w:rFonts w:ascii="Arial" w:hAnsi="Arial" w:cs="Arial"/>
          <w:b w:val="0"/>
          <w:bCs w:val="0"/>
          <w:sz w:val="22"/>
          <w:szCs w:val="22"/>
        </w:rPr>
        <w:t xml:space="preserve">, finden </w:t>
      </w:r>
      <w:r w:rsidR="00046CF0">
        <w:rPr>
          <w:rStyle w:val="Fett"/>
          <w:rFonts w:ascii="Arial" w:hAnsi="Arial" w:cs="Arial"/>
          <w:b w:val="0"/>
          <w:bCs w:val="0"/>
          <w:sz w:val="22"/>
          <w:szCs w:val="22"/>
        </w:rPr>
        <w:t>Sie</w:t>
      </w:r>
      <w:r w:rsidR="002F6B4F">
        <w:rPr>
          <w:rStyle w:val="Fett"/>
          <w:rFonts w:ascii="Arial" w:hAnsi="Arial" w:cs="Arial"/>
          <w:b w:val="0"/>
          <w:bCs w:val="0"/>
          <w:sz w:val="22"/>
          <w:szCs w:val="22"/>
        </w:rPr>
        <w:t xml:space="preserve"> </w:t>
      </w:r>
      <w:r w:rsidR="001A1986">
        <w:rPr>
          <w:rStyle w:val="Fett"/>
          <w:rFonts w:ascii="Arial" w:hAnsi="Arial" w:cs="Arial"/>
          <w:b w:val="0"/>
          <w:bCs w:val="0"/>
          <w:sz w:val="22"/>
          <w:szCs w:val="22"/>
        </w:rPr>
        <w:t xml:space="preserve"> </w:t>
      </w:r>
      <w:hyperlink r:id="rId4" w:history="1">
        <w:r w:rsidR="001A1986" w:rsidRPr="001A1986">
          <w:rPr>
            <w:rStyle w:val="Hyperlink"/>
            <w:rFonts w:ascii="Arial" w:hAnsi="Arial" w:cs="Arial"/>
            <w:sz w:val="22"/>
            <w:szCs w:val="22"/>
          </w:rPr>
          <w:t>hier</w:t>
        </w:r>
      </w:hyperlink>
      <w:r w:rsidR="001A1986">
        <w:rPr>
          <w:rStyle w:val="Fett"/>
          <w:rFonts w:ascii="Arial" w:hAnsi="Arial" w:cs="Arial"/>
          <w:b w:val="0"/>
          <w:bCs w:val="0"/>
          <w:sz w:val="22"/>
          <w:szCs w:val="22"/>
        </w:rPr>
        <w:t xml:space="preserve"> </w:t>
      </w:r>
      <w:r w:rsidR="00542FD4" w:rsidRPr="00542FD4">
        <w:rPr>
          <w:rFonts w:ascii="Arial" w:hAnsi="Arial" w:cs="Arial"/>
          <w:sz w:val="22"/>
          <w:szCs w:val="22"/>
        </w:rPr>
        <w:t xml:space="preserve">zum </w:t>
      </w:r>
      <w:r w:rsidR="002B4F1D">
        <w:rPr>
          <w:rFonts w:ascii="Arial" w:hAnsi="Arial" w:cs="Arial"/>
          <w:sz w:val="22"/>
          <w:szCs w:val="22"/>
        </w:rPr>
        <w:t>A</w:t>
      </w:r>
      <w:r w:rsidR="00542FD4" w:rsidRPr="00542FD4">
        <w:rPr>
          <w:rFonts w:ascii="Arial" w:hAnsi="Arial" w:cs="Arial"/>
          <w:sz w:val="22"/>
          <w:szCs w:val="22"/>
        </w:rPr>
        <w:t>bspeiche</w:t>
      </w:r>
      <w:r w:rsidR="002B4F1D">
        <w:rPr>
          <w:rFonts w:ascii="Arial" w:hAnsi="Arial" w:cs="Arial"/>
          <w:sz w:val="22"/>
          <w:szCs w:val="22"/>
        </w:rPr>
        <w:t>rn</w:t>
      </w:r>
      <w:r w:rsidR="001855AE" w:rsidRPr="00542FD4">
        <w:rPr>
          <w:rFonts w:ascii="Arial" w:hAnsi="Arial" w:cs="Arial"/>
          <w:sz w:val="22"/>
          <w:szCs w:val="22"/>
        </w:rPr>
        <w:t xml:space="preserve">, </w:t>
      </w:r>
      <w:r w:rsidR="00826D4C" w:rsidRPr="00542FD4">
        <w:rPr>
          <w:rFonts w:ascii="Arial" w:hAnsi="Arial" w:cs="Arial"/>
          <w:sz w:val="22"/>
          <w:szCs w:val="22"/>
        </w:rPr>
        <w:t>zugeordnet werden</w:t>
      </w:r>
      <w:r w:rsidR="00826D4C" w:rsidRPr="00542FD4">
        <w:t xml:space="preserve">. </w:t>
      </w:r>
      <w:r w:rsidR="00C71814" w:rsidRPr="00542FD4">
        <w:br/>
      </w:r>
      <w:r w:rsidR="00826D4C" w:rsidRPr="00542FD4">
        <w:t>Diese</w:t>
      </w:r>
      <w:r w:rsidR="00826D4C" w:rsidRPr="005066E0">
        <w:rPr>
          <w:rStyle w:val="Flietext295pt"/>
          <w:sz w:val="22"/>
          <w:szCs w:val="22"/>
        </w:rPr>
        <w:t xml:space="preserve"> Zuordnung (Variante) ist in Spalte 2 der Tabelle 3 des Anspruchsschreibens einzutragen. </w:t>
      </w:r>
      <w:r w:rsidR="00826D4C" w:rsidRPr="002C1A30">
        <w:rPr>
          <w:rStyle w:val="Flietext295pt"/>
          <w:b/>
          <w:bCs/>
          <w:sz w:val="22"/>
          <w:szCs w:val="22"/>
        </w:rPr>
        <w:t xml:space="preserve">In </w:t>
      </w:r>
      <w:r w:rsidR="00BA7D6A">
        <w:rPr>
          <w:rStyle w:val="Flietext295pt"/>
          <w:b/>
          <w:bCs/>
          <w:sz w:val="22"/>
          <w:szCs w:val="22"/>
        </w:rPr>
        <w:t xml:space="preserve">die </w:t>
      </w:r>
      <w:r w:rsidR="00BA7D6A" w:rsidRPr="00BA7D6A">
        <w:rPr>
          <w:rFonts w:ascii="Arial" w:eastAsia="Arial" w:hAnsi="Arial" w:cs="Arial"/>
          <w:b/>
          <w:bCs/>
          <w:color w:val="000000"/>
          <w:sz w:val="22"/>
          <w:szCs w:val="22"/>
          <w:shd w:val="clear" w:color="auto" w:fill="FFFFFF"/>
          <w:lang w:bidi="de-DE"/>
        </w:rPr>
        <w:t xml:space="preserve">„Finanz. Nachteil je ha“ </w:t>
      </w:r>
      <w:r w:rsidR="00826D4C" w:rsidRPr="002C1A30">
        <w:rPr>
          <w:rStyle w:val="Flietext295pt"/>
          <w:b/>
          <w:bCs/>
          <w:sz w:val="22"/>
          <w:szCs w:val="22"/>
        </w:rPr>
        <w:t>ist dann der Betrag aus Spalte „</w:t>
      </w:r>
      <w:r w:rsidR="00046CF0">
        <w:rPr>
          <w:rStyle w:val="Flietext295pt"/>
          <w:b/>
          <w:bCs/>
          <w:sz w:val="22"/>
          <w:szCs w:val="22"/>
        </w:rPr>
        <w:t>B</w:t>
      </w:r>
      <w:r w:rsidR="0094157D">
        <w:rPr>
          <w:rStyle w:val="Flietext295pt"/>
          <w:b/>
          <w:bCs/>
          <w:sz w:val="22"/>
          <w:szCs w:val="22"/>
        </w:rPr>
        <w:t>C</w:t>
      </w:r>
      <w:r w:rsidR="00826D4C" w:rsidRPr="001855AE">
        <w:rPr>
          <w:rStyle w:val="Flietext295pt"/>
          <w:i/>
          <w:iCs/>
          <w:sz w:val="22"/>
          <w:szCs w:val="22"/>
        </w:rPr>
        <w:t>“</w:t>
      </w:r>
      <w:r w:rsidR="00C05943">
        <w:rPr>
          <w:rStyle w:val="Flietext295pt"/>
          <w:i/>
          <w:iCs/>
          <w:sz w:val="22"/>
          <w:szCs w:val="22"/>
        </w:rPr>
        <w:t xml:space="preserve"> </w:t>
      </w:r>
      <w:r w:rsidR="00826D4C" w:rsidRPr="002C1A30">
        <w:rPr>
          <w:rStyle w:val="Flietext295pt"/>
          <w:b/>
          <w:bCs/>
          <w:sz w:val="22"/>
          <w:szCs w:val="22"/>
        </w:rPr>
        <w:t>des Tabellenblatts 3 der LWK einzuse</w:t>
      </w:r>
      <w:r w:rsidR="00046CF0">
        <w:rPr>
          <w:rStyle w:val="Flietext295pt"/>
          <w:b/>
          <w:bCs/>
          <w:sz w:val="22"/>
          <w:szCs w:val="22"/>
        </w:rPr>
        <w:t>t</w:t>
      </w:r>
      <w:r w:rsidR="00826D4C" w:rsidRPr="002C1A30">
        <w:rPr>
          <w:rStyle w:val="Flietext295pt"/>
          <w:b/>
          <w:bCs/>
          <w:sz w:val="22"/>
          <w:szCs w:val="22"/>
        </w:rPr>
        <w:t>zen, der für diese Variante berechnet wurde</w:t>
      </w:r>
      <w:r w:rsidR="00CC402A" w:rsidRPr="002C1A30">
        <w:rPr>
          <w:rStyle w:val="Flietext295pt"/>
          <w:b/>
          <w:bCs/>
          <w:sz w:val="22"/>
          <w:szCs w:val="22"/>
        </w:rPr>
        <w:t>, multipliziert mit der behandlungsbedürftigen Fläche des Schlages (</w:t>
      </w:r>
      <w:r w:rsidR="00FD40AE" w:rsidRPr="002C1A30">
        <w:rPr>
          <w:rStyle w:val="Flietext295pt"/>
          <w:b/>
          <w:bCs/>
          <w:sz w:val="22"/>
          <w:szCs w:val="22"/>
        </w:rPr>
        <w:t xml:space="preserve">Hektarfläche der </w:t>
      </w:r>
      <w:r w:rsidR="00CC402A" w:rsidRPr="002C1A30">
        <w:rPr>
          <w:rStyle w:val="Flietext295pt"/>
          <w:b/>
          <w:bCs/>
          <w:sz w:val="22"/>
          <w:szCs w:val="22"/>
        </w:rPr>
        <w:t>Spalte 5 der Tabelle 1 des Schreibens)</w:t>
      </w:r>
      <w:r w:rsidR="00826D4C" w:rsidRPr="002C1A30">
        <w:rPr>
          <w:rStyle w:val="Flietext295pt"/>
          <w:b/>
          <w:bCs/>
          <w:sz w:val="22"/>
          <w:szCs w:val="22"/>
        </w:rPr>
        <w:t>.</w:t>
      </w:r>
      <w:r w:rsidR="00CC402A" w:rsidRPr="005066E0">
        <w:rPr>
          <w:rStyle w:val="Flietext295pt"/>
          <w:sz w:val="22"/>
          <w:szCs w:val="22"/>
        </w:rPr>
        <w:t xml:space="preserve"> </w:t>
      </w:r>
      <w:r w:rsidR="00BA7D6A">
        <w:rPr>
          <w:rStyle w:val="Flietext295pt"/>
          <w:sz w:val="22"/>
          <w:szCs w:val="22"/>
        </w:rPr>
        <w:br/>
      </w:r>
      <w:r w:rsidR="00CC402A" w:rsidRPr="005066E0">
        <w:rPr>
          <w:rStyle w:val="Flietext295pt"/>
          <w:sz w:val="22"/>
          <w:szCs w:val="22"/>
        </w:rPr>
        <w:t xml:space="preserve">Aus der Summe der Nachteile der behandlungsbedürftigen Flächen in einem Wasserschutzgebiet ergibt sich dann </w:t>
      </w:r>
      <w:r w:rsidR="00FD40AE" w:rsidRPr="005066E0">
        <w:rPr>
          <w:rStyle w:val="Flietext295pt"/>
          <w:sz w:val="22"/>
          <w:szCs w:val="22"/>
        </w:rPr>
        <w:t xml:space="preserve">der Gesamtnachteil für den bewirtschaftenden Betrieb. </w:t>
      </w:r>
      <w:r w:rsidR="00023114" w:rsidRPr="005066E0">
        <w:rPr>
          <w:rStyle w:val="Flietext295pt"/>
          <w:sz w:val="22"/>
          <w:szCs w:val="22"/>
        </w:rPr>
        <w:t>Wenn eine Fläche einer gesetzlichen oder förderrechtlichen Restriktion mit Pflugverbot unterliegt oder aufgrund der natürlichen Eigenschaften nicht gepflügt werden kann, ist die Zeile „Pflug? Nein“ auszuwählen</w:t>
      </w:r>
      <w:r w:rsidR="00C9733C" w:rsidRPr="005066E0">
        <w:rPr>
          <w:rStyle w:val="Flietext295pt"/>
          <w:sz w:val="22"/>
          <w:szCs w:val="22"/>
        </w:rPr>
        <w:t>. Bis einschließlich 2023 galt bei wasser- oder winderosionsgefährdeten Flächen kein Pflugverbot vor Sommerungen, wenn z. B. Zwischenfrüchte angebaut wurden.</w:t>
      </w:r>
      <w:r w:rsidR="00023114" w:rsidRPr="005066E0">
        <w:rPr>
          <w:rStyle w:val="Flietext295pt"/>
          <w:sz w:val="22"/>
          <w:szCs w:val="22"/>
        </w:rPr>
        <w:t xml:space="preserve"> </w:t>
      </w:r>
    </w:p>
    <w:p w14:paraId="0E89D000" w14:textId="77777777" w:rsidR="00FD40AE" w:rsidRPr="002D2A69" w:rsidRDefault="00FD40AE" w:rsidP="00BA7D6A">
      <w:pPr>
        <w:pStyle w:val="StandardWeb"/>
        <w:pBdr>
          <w:top w:val="single" w:sz="4" w:space="1" w:color="auto"/>
          <w:left w:val="single" w:sz="4" w:space="4" w:color="auto"/>
          <w:bottom w:val="single" w:sz="4" w:space="1" w:color="auto"/>
          <w:right w:val="single" w:sz="4" w:space="4" w:color="auto"/>
        </w:pBdr>
        <w:spacing w:line="320" w:lineRule="exact"/>
        <w:rPr>
          <w:rStyle w:val="Flietext295pt"/>
          <w:b/>
          <w:bCs/>
          <w:sz w:val="22"/>
          <w:szCs w:val="22"/>
        </w:rPr>
      </w:pPr>
      <w:r w:rsidRPr="002D2A69">
        <w:rPr>
          <w:rStyle w:val="Flietext295pt"/>
          <w:b/>
          <w:bCs/>
          <w:sz w:val="22"/>
          <w:szCs w:val="22"/>
        </w:rPr>
        <w:t>Als Beispiel</w:t>
      </w:r>
      <w:r w:rsidR="002C1A30" w:rsidRPr="002D2A69">
        <w:rPr>
          <w:rStyle w:val="Flietext295pt"/>
          <w:b/>
          <w:bCs/>
          <w:sz w:val="22"/>
          <w:szCs w:val="22"/>
        </w:rPr>
        <w:t xml:space="preserve"> ist hier einmal</w:t>
      </w:r>
      <w:r w:rsidRPr="002D2A69">
        <w:rPr>
          <w:rStyle w:val="Flietext295pt"/>
          <w:b/>
          <w:bCs/>
          <w:sz w:val="22"/>
          <w:szCs w:val="22"/>
        </w:rPr>
        <w:t xml:space="preserve"> das Ergebnis für eine 3,6 Hektar große</w:t>
      </w:r>
      <w:r w:rsidR="00023114" w:rsidRPr="002D2A69">
        <w:rPr>
          <w:rStyle w:val="Flietext295pt"/>
          <w:b/>
          <w:bCs/>
          <w:sz w:val="22"/>
          <w:szCs w:val="22"/>
        </w:rPr>
        <w:t>n</w:t>
      </w:r>
      <w:r w:rsidR="00C9733C" w:rsidRPr="002D2A69">
        <w:rPr>
          <w:rStyle w:val="Flietext295pt"/>
          <w:b/>
          <w:bCs/>
          <w:sz w:val="22"/>
          <w:szCs w:val="22"/>
        </w:rPr>
        <w:t xml:space="preserve"> </w:t>
      </w:r>
      <w:r w:rsidRPr="002D2A69">
        <w:rPr>
          <w:rStyle w:val="Flietext295pt"/>
          <w:b/>
          <w:bCs/>
          <w:sz w:val="22"/>
          <w:szCs w:val="22"/>
        </w:rPr>
        <w:t>Fläche</w:t>
      </w:r>
      <w:r w:rsidR="00023114" w:rsidRPr="002D2A69">
        <w:rPr>
          <w:rStyle w:val="Flietext295pt"/>
          <w:b/>
          <w:bCs/>
          <w:sz w:val="22"/>
          <w:szCs w:val="22"/>
        </w:rPr>
        <w:t xml:space="preserve"> </w:t>
      </w:r>
      <w:r w:rsidR="00C9733C" w:rsidRPr="002D2A69">
        <w:rPr>
          <w:rStyle w:val="Flietext295pt"/>
          <w:b/>
          <w:bCs/>
          <w:sz w:val="22"/>
          <w:szCs w:val="22"/>
        </w:rPr>
        <w:t>ohne</w:t>
      </w:r>
      <w:r w:rsidR="00023114" w:rsidRPr="002D2A69">
        <w:rPr>
          <w:rStyle w:val="Flietext295pt"/>
          <w:b/>
          <w:bCs/>
          <w:sz w:val="22"/>
          <w:szCs w:val="22"/>
        </w:rPr>
        <w:t xml:space="preserve"> Pflugverbot</w:t>
      </w:r>
      <w:r w:rsidR="002D2A69">
        <w:rPr>
          <w:rStyle w:val="Flietext295pt"/>
          <w:b/>
          <w:bCs/>
          <w:sz w:val="22"/>
          <w:szCs w:val="22"/>
        </w:rPr>
        <w:t xml:space="preserve"> berechnet</w:t>
      </w:r>
      <w:r w:rsidRPr="002D2A69">
        <w:rPr>
          <w:rStyle w:val="Flietext295pt"/>
          <w:b/>
          <w:bCs/>
          <w:sz w:val="22"/>
          <w:szCs w:val="22"/>
        </w:rPr>
        <w:t xml:space="preserve">, auf der nach Wintergetreide als Vorfrucht eine Zwischenfrucht eingesät </w:t>
      </w:r>
      <w:r w:rsidR="00023114" w:rsidRPr="002D2A69">
        <w:rPr>
          <w:rStyle w:val="Flietext295pt"/>
          <w:b/>
          <w:bCs/>
          <w:sz w:val="22"/>
          <w:szCs w:val="22"/>
        </w:rPr>
        <w:t>und anschließend als Hauptfrucht Mais angebaut wurde</w:t>
      </w:r>
      <w:r w:rsidR="00A84AF3" w:rsidRPr="002D2A69">
        <w:rPr>
          <w:rStyle w:val="Flietext295pt"/>
          <w:b/>
          <w:bCs/>
          <w:sz w:val="22"/>
          <w:szCs w:val="22"/>
        </w:rPr>
        <w:t xml:space="preserve">. Die Indikation ist hier vorrangig die sichere Abtötung der winterharten Zwischenfrucht </w:t>
      </w:r>
      <w:r w:rsidR="002C1A30" w:rsidRPr="002D2A69">
        <w:rPr>
          <w:rStyle w:val="Flietext295pt"/>
          <w:b/>
          <w:bCs/>
          <w:sz w:val="22"/>
          <w:szCs w:val="22"/>
        </w:rPr>
        <w:t xml:space="preserve">incl. aufgelaufener Unkräuter und Ungräser sowie Ausfallgetreide </w:t>
      </w:r>
      <w:r w:rsidR="00A84AF3" w:rsidRPr="002D2A69">
        <w:rPr>
          <w:rStyle w:val="Flietext295pt"/>
          <w:b/>
          <w:bCs/>
          <w:sz w:val="22"/>
          <w:szCs w:val="22"/>
        </w:rPr>
        <w:t>vor der Aussaat des Maises in Mulchsaat (Indikation A)</w:t>
      </w:r>
      <w:r w:rsidR="00023114" w:rsidRPr="002D2A69">
        <w:rPr>
          <w:rStyle w:val="Flietext295pt"/>
          <w:b/>
          <w:bCs/>
          <w:sz w:val="22"/>
          <w:szCs w:val="22"/>
        </w:rPr>
        <w:t>:</w:t>
      </w:r>
    </w:p>
    <w:p w14:paraId="57FD50E3" w14:textId="40B6B9AC" w:rsidR="00A84AF3" w:rsidRPr="005066E0" w:rsidRDefault="00C9733C" w:rsidP="00BA7D6A">
      <w:pPr>
        <w:pStyle w:val="StandardWeb"/>
        <w:pBdr>
          <w:top w:val="single" w:sz="4" w:space="1" w:color="auto"/>
          <w:left w:val="single" w:sz="4" w:space="4" w:color="auto"/>
          <w:bottom w:val="single" w:sz="4" w:space="1" w:color="auto"/>
          <w:right w:val="single" w:sz="4" w:space="4" w:color="auto"/>
        </w:pBdr>
        <w:spacing w:line="320" w:lineRule="exact"/>
        <w:rPr>
          <w:rStyle w:val="Flietext295pt"/>
          <w:sz w:val="22"/>
          <w:szCs w:val="22"/>
        </w:rPr>
      </w:pPr>
      <w:r w:rsidRPr="005066E0">
        <w:rPr>
          <w:rStyle w:val="Flietext295pt"/>
          <w:sz w:val="22"/>
          <w:szCs w:val="22"/>
        </w:rPr>
        <w:t>LWK-Tabellenblatt 3</w:t>
      </w:r>
      <w:r w:rsidR="0094157D">
        <w:rPr>
          <w:rStyle w:val="Flietext295pt"/>
          <w:sz w:val="22"/>
          <w:szCs w:val="22"/>
        </w:rPr>
        <w:t>(</w:t>
      </w:r>
      <w:r w:rsidR="0094157D" w:rsidRPr="0094157D">
        <w:rPr>
          <w:rStyle w:val="Flietext295pt"/>
          <w:b/>
          <w:bCs/>
          <w:sz w:val="22"/>
          <w:szCs w:val="22"/>
        </w:rPr>
        <w:t>Einige Spalten sind ausgeblendet und die Ansicht Fenster fixieren aktiviert!</w:t>
      </w:r>
      <w:proofErr w:type="gramStart"/>
      <w:r w:rsidR="0094157D">
        <w:rPr>
          <w:rStyle w:val="Flietext295pt"/>
          <w:sz w:val="22"/>
          <w:szCs w:val="22"/>
        </w:rPr>
        <w:t xml:space="preserve">) </w:t>
      </w:r>
      <w:r w:rsidRPr="005066E0">
        <w:rPr>
          <w:rStyle w:val="Flietext295pt"/>
          <w:sz w:val="22"/>
          <w:szCs w:val="22"/>
        </w:rPr>
        <w:t>,</w:t>
      </w:r>
      <w:proofErr w:type="gramEnd"/>
      <w:r w:rsidRPr="005066E0">
        <w:rPr>
          <w:rStyle w:val="Flietext295pt"/>
          <w:sz w:val="22"/>
          <w:szCs w:val="22"/>
        </w:rPr>
        <w:t xml:space="preserve"> Zeile 4</w:t>
      </w:r>
      <w:r w:rsidR="00756D8A">
        <w:rPr>
          <w:rStyle w:val="Flietext295pt"/>
          <w:sz w:val="22"/>
          <w:szCs w:val="22"/>
        </w:rPr>
        <w:t>6</w:t>
      </w:r>
      <w:r w:rsidRPr="005066E0">
        <w:rPr>
          <w:rStyle w:val="Flietext295pt"/>
          <w:sz w:val="22"/>
          <w:szCs w:val="22"/>
        </w:rPr>
        <w:t xml:space="preserve"> (Mais nach Wintergetreide mit Zwischenfrucht und Möglichkeit des Pflugeinsatzes): Ergebnis Nachteil Glyphosatverbot in Spalte </w:t>
      </w:r>
      <w:r w:rsidR="00046CF0">
        <w:rPr>
          <w:rStyle w:val="Flietext295pt"/>
          <w:sz w:val="22"/>
          <w:szCs w:val="22"/>
        </w:rPr>
        <w:t>BB</w:t>
      </w:r>
      <w:r w:rsidRPr="005066E0">
        <w:rPr>
          <w:rStyle w:val="Flietext295pt"/>
          <w:sz w:val="22"/>
          <w:szCs w:val="22"/>
        </w:rPr>
        <w:t xml:space="preserve"> =</w:t>
      </w:r>
      <w:r w:rsidR="00A84AF3" w:rsidRPr="005066E0">
        <w:rPr>
          <w:rStyle w:val="Flietext295pt"/>
          <w:sz w:val="22"/>
          <w:szCs w:val="22"/>
        </w:rPr>
        <w:t xml:space="preserve"> 6</w:t>
      </w:r>
      <w:r w:rsidR="00756D8A">
        <w:rPr>
          <w:rStyle w:val="Flietext295pt"/>
          <w:sz w:val="22"/>
          <w:szCs w:val="22"/>
        </w:rPr>
        <w:t>2</w:t>
      </w:r>
      <w:r w:rsidR="00A84AF3" w:rsidRPr="005066E0">
        <w:rPr>
          <w:rStyle w:val="Flietext295pt"/>
          <w:sz w:val="22"/>
          <w:szCs w:val="22"/>
        </w:rPr>
        <w:t>,</w:t>
      </w:r>
      <w:r w:rsidR="00756D8A">
        <w:rPr>
          <w:rStyle w:val="Flietext295pt"/>
          <w:sz w:val="22"/>
          <w:szCs w:val="22"/>
        </w:rPr>
        <w:t>9</w:t>
      </w:r>
      <w:r w:rsidR="00046CF0">
        <w:rPr>
          <w:rStyle w:val="Flietext295pt"/>
          <w:sz w:val="22"/>
          <w:szCs w:val="22"/>
        </w:rPr>
        <w:t>1</w:t>
      </w:r>
      <w:r w:rsidR="00A84AF3" w:rsidRPr="005066E0">
        <w:rPr>
          <w:rStyle w:val="Flietext295pt"/>
          <w:sz w:val="22"/>
          <w:szCs w:val="22"/>
        </w:rPr>
        <w:t xml:space="preserve"> €/ha multipliziert mit 3,6 ha = 2</w:t>
      </w:r>
      <w:r w:rsidR="00756D8A">
        <w:rPr>
          <w:rStyle w:val="Flietext295pt"/>
          <w:sz w:val="22"/>
          <w:szCs w:val="22"/>
        </w:rPr>
        <w:t>26</w:t>
      </w:r>
      <w:r w:rsidR="00A84AF3" w:rsidRPr="005066E0">
        <w:rPr>
          <w:rStyle w:val="Flietext295pt"/>
          <w:sz w:val="22"/>
          <w:szCs w:val="22"/>
        </w:rPr>
        <w:t>,</w:t>
      </w:r>
      <w:r w:rsidR="00756D8A">
        <w:rPr>
          <w:rStyle w:val="Flietext295pt"/>
          <w:sz w:val="22"/>
          <w:szCs w:val="22"/>
        </w:rPr>
        <w:t>48</w:t>
      </w:r>
      <w:r w:rsidR="00A84AF3" w:rsidRPr="005066E0">
        <w:rPr>
          <w:rStyle w:val="Flietext295pt"/>
          <w:sz w:val="22"/>
          <w:szCs w:val="22"/>
        </w:rPr>
        <w:t xml:space="preserve"> €</w:t>
      </w:r>
      <w:r w:rsidR="002D2A69">
        <w:rPr>
          <w:rStyle w:val="Flietext295pt"/>
          <w:sz w:val="22"/>
          <w:szCs w:val="22"/>
        </w:rPr>
        <w:t xml:space="preserve"> für den Betrieb</w:t>
      </w:r>
      <w:r w:rsidR="00A84AF3" w:rsidRPr="005066E0">
        <w:rPr>
          <w:rStyle w:val="Flietext295pt"/>
          <w:sz w:val="22"/>
          <w:szCs w:val="22"/>
        </w:rPr>
        <w:t xml:space="preserve">. </w:t>
      </w:r>
    </w:p>
    <w:p w14:paraId="2C14F9D8" w14:textId="0D489D58" w:rsidR="0068340F" w:rsidRPr="005066E0" w:rsidRDefault="0068340F" w:rsidP="00237B27">
      <w:pPr>
        <w:pStyle w:val="StandardWeb"/>
        <w:spacing w:line="320" w:lineRule="exact"/>
        <w:rPr>
          <w:rStyle w:val="Fett"/>
          <w:rFonts w:ascii="Arial" w:hAnsi="Arial" w:cs="Arial"/>
          <w:b w:val="0"/>
          <w:bCs w:val="0"/>
          <w:sz w:val="22"/>
          <w:szCs w:val="22"/>
        </w:rPr>
      </w:pPr>
      <w:r w:rsidRPr="005066E0">
        <w:rPr>
          <w:rStyle w:val="Fett"/>
          <w:rFonts w:ascii="Arial" w:hAnsi="Arial" w:cs="Arial"/>
          <w:b w:val="0"/>
          <w:bCs w:val="0"/>
          <w:sz w:val="22"/>
          <w:szCs w:val="22"/>
        </w:rPr>
        <w:t xml:space="preserve">Soweit die LWK </w:t>
      </w:r>
      <w:r w:rsidR="00E37116" w:rsidRPr="005066E0">
        <w:rPr>
          <w:rStyle w:val="Fett"/>
          <w:rFonts w:ascii="Arial" w:hAnsi="Arial" w:cs="Arial"/>
          <w:b w:val="0"/>
          <w:bCs w:val="0"/>
          <w:sz w:val="22"/>
          <w:szCs w:val="22"/>
        </w:rPr>
        <w:t>keine passende Kalkulationsgrundlage bereit</w:t>
      </w:r>
      <w:r w:rsidR="00A84AF3" w:rsidRPr="005066E0">
        <w:rPr>
          <w:rStyle w:val="Fett"/>
          <w:rFonts w:ascii="Arial" w:hAnsi="Arial" w:cs="Arial"/>
          <w:b w:val="0"/>
          <w:bCs w:val="0"/>
          <w:sz w:val="22"/>
          <w:szCs w:val="22"/>
        </w:rPr>
        <w:t>stellt</w:t>
      </w:r>
      <w:r w:rsidR="00E51F3C" w:rsidRPr="005066E0">
        <w:rPr>
          <w:rStyle w:val="Fett"/>
          <w:rFonts w:ascii="Arial" w:hAnsi="Arial" w:cs="Arial"/>
          <w:b w:val="0"/>
          <w:bCs w:val="0"/>
          <w:sz w:val="22"/>
          <w:szCs w:val="22"/>
        </w:rPr>
        <w:t xml:space="preserve"> (z. B. für Behandlungen von Grünland) ist leider eine individuelle Erläuterung unverzichtbar möglichst unter Hinzuziehung eines Beraters (ggf. Grünlandberater der LWK). Hier sollte dann eine Berechnung der notwendigen mechanischen Bearbeitungsgänge z. B. mit Standardkosten (Maschinenring</w:t>
      </w:r>
      <w:r w:rsidR="00C05943">
        <w:rPr>
          <w:rStyle w:val="Fett"/>
          <w:rFonts w:ascii="Arial" w:hAnsi="Arial" w:cs="Arial"/>
          <w:b w:val="0"/>
          <w:bCs w:val="0"/>
          <w:sz w:val="22"/>
          <w:szCs w:val="22"/>
        </w:rPr>
        <w:t>-</w:t>
      </w:r>
      <w:r w:rsidR="00E51F3C" w:rsidRPr="005066E0">
        <w:rPr>
          <w:rStyle w:val="Fett"/>
          <w:rFonts w:ascii="Arial" w:hAnsi="Arial" w:cs="Arial"/>
          <w:b w:val="0"/>
          <w:bCs w:val="0"/>
          <w:sz w:val="22"/>
          <w:szCs w:val="22"/>
        </w:rPr>
        <w:t>sätze?) vorgenommen werden,</w:t>
      </w:r>
      <w:r w:rsidR="003D2610" w:rsidRPr="005066E0">
        <w:rPr>
          <w:rStyle w:val="Fett"/>
          <w:rFonts w:ascii="Arial" w:hAnsi="Arial" w:cs="Arial"/>
          <w:b w:val="0"/>
          <w:bCs w:val="0"/>
          <w:sz w:val="22"/>
          <w:szCs w:val="22"/>
        </w:rPr>
        <w:t xml:space="preserve"> die der (in der Regel ebenfalls notwendigen, aber weniger intensiven) Bodenbearbeitung</w:t>
      </w:r>
      <w:r w:rsidR="002C1A30">
        <w:rPr>
          <w:rStyle w:val="Fett"/>
          <w:rFonts w:ascii="Arial" w:hAnsi="Arial" w:cs="Arial"/>
          <w:b w:val="0"/>
          <w:bCs w:val="0"/>
          <w:sz w:val="22"/>
          <w:szCs w:val="22"/>
        </w:rPr>
        <w:t xml:space="preserve"> bei Behandlung mit Glyphosat</w:t>
      </w:r>
      <w:r w:rsidR="003D2610" w:rsidRPr="005066E0">
        <w:rPr>
          <w:rStyle w:val="Fett"/>
          <w:rFonts w:ascii="Arial" w:hAnsi="Arial" w:cs="Arial"/>
          <w:b w:val="0"/>
          <w:bCs w:val="0"/>
          <w:sz w:val="22"/>
          <w:szCs w:val="22"/>
        </w:rPr>
        <w:t xml:space="preserve"> gegenübergestellt werden muss. Wichtig ist hier bei der Differenz des Aufwandes (mit/ohne Glyphosat), die eingesparten Kosten einer Überfahrt und Einkaufskosten des Glyphosats von dieser Differenz </w:t>
      </w:r>
      <w:r w:rsidR="002C1A30">
        <w:rPr>
          <w:rStyle w:val="Fett"/>
          <w:rFonts w:ascii="Arial" w:hAnsi="Arial" w:cs="Arial"/>
          <w:b w:val="0"/>
          <w:bCs w:val="0"/>
          <w:sz w:val="22"/>
          <w:szCs w:val="22"/>
        </w:rPr>
        <w:t xml:space="preserve">der reinen maschinellen Bodenbearbeitung </w:t>
      </w:r>
      <w:r w:rsidR="003D2610" w:rsidRPr="005066E0">
        <w:rPr>
          <w:rStyle w:val="Fett"/>
          <w:rFonts w:ascii="Arial" w:hAnsi="Arial" w:cs="Arial"/>
          <w:b w:val="0"/>
          <w:bCs w:val="0"/>
          <w:sz w:val="22"/>
          <w:szCs w:val="22"/>
        </w:rPr>
        <w:t>noch abzuziehen.</w:t>
      </w:r>
    </w:p>
    <w:p w14:paraId="0EC0F148" w14:textId="77777777" w:rsidR="003D2610" w:rsidRPr="002C1A30" w:rsidRDefault="003D2610" w:rsidP="00A433B8">
      <w:pPr>
        <w:pStyle w:val="StandardWeb"/>
        <w:rPr>
          <w:rStyle w:val="Fett"/>
          <w:rFonts w:ascii="Arial" w:hAnsi="Arial" w:cs="Arial"/>
          <w:sz w:val="22"/>
          <w:szCs w:val="22"/>
          <w:u w:val="single"/>
        </w:rPr>
      </w:pPr>
      <w:r w:rsidRPr="002C1A30">
        <w:rPr>
          <w:rStyle w:val="Fett"/>
          <w:rFonts w:ascii="Arial" w:hAnsi="Arial" w:cs="Arial"/>
          <w:sz w:val="22"/>
          <w:szCs w:val="22"/>
          <w:u w:val="single"/>
        </w:rPr>
        <w:t>Zur Erläuterung der Ausgangsdaten für die Kosten des zusätzlichen mechanischen Bearbeitungsaufwandes bei Glyphosatverzicht</w:t>
      </w:r>
    </w:p>
    <w:p w14:paraId="1AF5125A" w14:textId="77777777" w:rsidR="002D2A69" w:rsidRPr="00BA7D6A" w:rsidRDefault="00F672F5" w:rsidP="00237B27">
      <w:pPr>
        <w:pStyle w:val="StandardWeb"/>
        <w:spacing w:line="320" w:lineRule="exact"/>
        <w:rPr>
          <w:rStyle w:val="Fett"/>
          <w:rFonts w:ascii="Arial" w:hAnsi="Arial" w:cs="Arial"/>
          <w:b w:val="0"/>
          <w:bCs w:val="0"/>
          <w:sz w:val="22"/>
          <w:szCs w:val="22"/>
          <w:u w:val="single"/>
        </w:rPr>
      </w:pPr>
      <w:r w:rsidRPr="00BA7D6A">
        <w:rPr>
          <w:rStyle w:val="Fett"/>
          <w:rFonts w:ascii="Arial" w:hAnsi="Arial" w:cs="Arial"/>
          <w:b w:val="0"/>
          <w:bCs w:val="0"/>
          <w:sz w:val="22"/>
          <w:szCs w:val="22"/>
          <w:u w:val="single"/>
        </w:rPr>
        <w:t xml:space="preserve">Die LWK hat durch Abschätzung der Arbeitsgänge über alle in der Praxis </w:t>
      </w:r>
      <w:r w:rsidR="002C1A30" w:rsidRPr="00BA7D6A">
        <w:rPr>
          <w:rStyle w:val="Fett"/>
          <w:rFonts w:ascii="Arial" w:hAnsi="Arial" w:cs="Arial"/>
          <w:b w:val="0"/>
          <w:bCs w:val="0"/>
          <w:sz w:val="22"/>
          <w:szCs w:val="22"/>
          <w:u w:val="single"/>
        </w:rPr>
        <w:t xml:space="preserve">in Niedersachsen </w:t>
      </w:r>
      <w:r w:rsidRPr="00BA7D6A">
        <w:rPr>
          <w:rStyle w:val="Fett"/>
          <w:rFonts w:ascii="Arial" w:hAnsi="Arial" w:cs="Arial"/>
          <w:b w:val="0"/>
          <w:bCs w:val="0"/>
          <w:sz w:val="22"/>
          <w:szCs w:val="22"/>
          <w:u w:val="single"/>
        </w:rPr>
        <w:t xml:space="preserve">üblichen Maschinenvarianten in einem Wirtschaftsjahr zu einer Kultur ab Ernte der Vorfrucht einen durchschnittlichen Kostenaufwand einmal mit und einmal ohne Glyphosat berechnet. </w:t>
      </w:r>
      <w:r w:rsidRPr="00BA7D6A">
        <w:rPr>
          <w:rStyle w:val="Fett"/>
          <w:rFonts w:ascii="Arial" w:hAnsi="Arial" w:cs="Arial"/>
          <w:b w:val="0"/>
          <w:bCs w:val="0"/>
          <w:sz w:val="22"/>
          <w:szCs w:val="22"/>
          <w:u w:val="single"/>
        </w:rPr>
        <w:lastRenderedPageBreak/>
        <w:t xml:space="preserve">Das ist ein Durchschnitt für Niedersachsen (nicht die tatsächlichen Arbeitsgänge des Betriebes) und daher sind in Tabelle 3 der </w:t>
      </w:r>
      <w:r w:rsidR="006E03C9" w:rsidRPr="00BA7D6A">
        <w:rPr>
          <w:rStyle w:val="Fett"/>
          <w:rFonts w:ascii="Arial" w:hAnsi="Arial" w:cs="Arial"/>
          <w:b w:val="0"/>
          <w:bCs w:val="0"/>
          <w:sz w:val="22"/>
          <w:szCs w:val="22"/>
          <w:u w:val="single"/>
        </w:rPr>
        <w:t xml:space="preserve">Excelanwendung der LWK auch Faktoren für die verschiedenen Bodenbearbeitungsverfahren eingesetzt. Natürlich setzt in der Praxis niemand auf nur 50 % einer betroffenen Fläche den Pflug ein und stattdessen auf den anderen 50 % den Grubber ein zweites oder drittes Mal usw. </w:t>
      </w:r>
    </w:p>
    <w:p w14:paraId="46CDCD34" w14:textId="77777777" w:rsidR="00F672F5" w:rsidRPr="00BA7D6A" w:rsidRDefault="006E03C9" w:rsidP="00237B27">
      <w:pPr>
        <w:pStyle w:val="StandardWeb"/>
        <w:spacing w:line="320" w:lineRule="exact"/>
        <w:rPr>
          <w:rStyle w:val="Fett"/>
          <w:rFonts w:ascii="Arial" w:hAnsi="Arial" w:cs="Arial"/>
          <w:b w:val="0"/>
          <w:bCs w:val="0"/>
          <w:sz w:val="22"/>
          <w:szCs w:val="22"/>
          <w:u w:val="single"/>
        </w:rPr>
      </w:pPr>
      <w:r w:rsidRPr="00BA7D6A">
        <w:rPr>
          <w:rStyle w:val="Fett"/>
          <w:rFonts w:ascii="Arial" w:hAnsi="Arial" w:cs="Arial"/>
          <w:b w:val="0"/>
          <w:bCs w:val="0"/>
          <w:sz w:val="22"/>
          <w:szCs w:val="22"/>
          <w:u w:val="single"/>
        </w:rPr>
        <w:t>Gleichwohl deckt sich dieses Vorgehen mit dem Wasserrecht, das dazu folgendes sagt:</w:t>
      </w:r>
    </w:p>
    <w:p w14:paraId="60461ACE" w14:textId="77777777" w:rsidR="006E03C9" w:rsidRPr="00BA7D6A" w:rsidRDefault="006E03C9" w:rsidP="00237B27">
      <w:pPr>
        <w:pStyle w:val="StandardWeb"/>
        <w:spacing w:line="320" w:lineRule="exact"/>
        <w:rPr>
          <w:rFonts w:ascii="Arial" w:hAnsi="Arial" w:cs="Arial"/>
          <w:i/>
          <w:iCs/>
          <w:sz w:val="22"/>
          <w:szCs w:val="22"/>
          <w:u w:val="single"/>
        </w:rPr>
      </w:pPr>
      <w:r w:rsidRPr="00BA7D6A">
        <w:rPr>
          <w:rFonts w:ascii="Arial" w:hAnsi="Arial" w:cs="Arial"/>
          <w:i/>
          <w:iCs/>
          <w:sz w:val="22"/>
          <w:szCs w:val="22"/>
          <w:u w:val="single"/>
        </w:rPr>
        <w:t>„Der Ausgleich bemisst sich nach den durchschnittlichen Ertragseinbußen und Mehraufwendungen, gemessen an den Erträgen und Aufwendungen einer ordnungsgemäßen land- oder forstwirtschaftlichen oder erwerbsgärtnerischen Nutzung.“</w:t>
      </w:r>
    </w:p>
    <w:p w14:paraId="7C7F45A5" w14:textId="77777777" w:rsidR="006E03C9" w:rsidRPr="005066E0" w:rsidRDefault="006E03C9" w:rsidP="00237B27">
      <w:pPr>
        <w:pStyle w:val="StandardWeb"/>
        <w:spacing w:line="320" w:lineRule="exact"/>
        <w:rPr>
          <w:rStyle w:val="Fett"/>
          <w:rFonts w:ascii="Arial" w:hAnsi="Arial" w:cs="Arial"/>
          <w:b w:val="0"/>
          <w:bCs w:val="0"/>
          <w:sz w:val="22"/>
          <w:szCs w:val="22"/>
        </w:rPr>
      </w:pPr>
      <w:r w:rsidRPr="005066E0">
        <w:rPr>
          <w:rFonts w:ascii="Arial" w:hAnsi="Arial" w:cs="Arial"/>
          <w:sz w:val="22"/>
          <w:szCs w:val="22"/>
        </w:rPr>
        <w:t xml:space="preserve">Daraus ergibt sich nach Auffassung des Landvolks Niedersachsen, dass es hinsichtlich der Beweislast des Betriebes über seinen Nachteil ausreicht, </w:t>
      </w:r>
      <w:r w:rsidR="00237B27">
        <w:rPr>
          <w:rFonts w:ascii="Arial" w:hAnsi="Arial" w:cs="Arial"/>
          <w:sz w:val="22"/>
          <w:szCs w:val="22"/>
        </w:rPr>
        <w:t xml:space="preserve">statt </w:t>
      </w:r>
      <w:r w:rsidRPr="005066E0">
        <w:rPr>
          <w:rFonts w:ascii="Arial" w:hAnsi="Arial" w:cs="Arial"/>
          <w:sz w:val="22"/>
          <w:szCs w:val="22"/>
        </w:rPr>
        <w:t>ein</w:t>
      </w:r>
      <w:r w:rsidR="00237B27">
        <w:rPr>
          <w:rFonts w:ascii="Arial" w:hAnsi="Arial" w:cs="Arial"/>
          <w:sz w:val="22"/>
          <w:szCs w:val="22"/>
        </w:rPr>
        <w:t>er komplexen</w:t>
      </w:r>
      <w:r w:rsidRPr="005066E0">
        <w:rPr>
          <w:rFonts w:ascii="Arial" w:hAnsi="Arial" w:cs="Arial"/>
          <w:sz w:val="22"/>
          <w:szCs w:val="22"/>
        </w:rPr>
        <w:t xml:space="preserve"> </w:t>
      </w:r>
      <w:r w:rsidR="005066E0" w:rsidRPr="005066E0">
        <w:rPr>
          <w:rFonts w:ascii="Arial" w:hAnsi="Arial" w:cs="Arial"/>
          <w:sz w:val="22"/>
          <w:szCs w:val="22"/>
        </w:rPr>
        <w:t xml:space="preserve">Durchschnittskostenbetrachtung </w:t>
      </w:r>
      <w:r w:rsidR="00237B27">
        <w:rPr>
          <w:rFonts w:ascii="Arial" w:hAnsi="Arial" w:cs="Arial"/>
          <w:sz w:val="22"/>
          <w:szCs w:val="22"/>
        </w:rPr>
        <w:t xml:space="preserve">speziell für seinen Betrieb die Durchschnittskosten in der </w:t>
      </w:r>
      <w:proofErr w:type="spellStart"/>
      <w:r w:rsidR="00237B27">
        <w:rPr>
          <w:rFonts w:ascii="Arial" w:hAnsi="Arial" w:cs="Arial"/>
          <w:sz w:val="22"/>
          <w:szCs w:val="22"/>
        </w:rPr>
        <w:t>nds</w:t>
      </w:r>
      <w:proofErr w:type="spellEnd"/>
      <w:r w:rsidR="00237B27">
        <w:rPr>
          <w:rFonts w:ascii="Arial" w:hAnsi="Arial" w:cs="Arial"/>
          <w:sz w:val="22"/>
          <w:szCs w:val="22"/>
        </w:rPr>
        <w:t>. Landwirtschaft anzusetzen</w:t>
      </w:r>
      <w:r w:rsidR="005066E0" w:rsidRPr="005066E0">
        <w:rPr>
          <w:rFonts w:ascii="Arial" w:hAnsi="Arial" w:cs="Arial"/>
          <w:sz w:val="22"/>
          <w:szCs w:val="22"/>
        </w:rPr>
        <w:t>. Im Umkehrschluss obliegt Betrieben, die mit einer solchen Betrachtung nicht einverstanden sind, eine gesteigerte Darlegungslast über betriebsindividuelle höhere Nachteile des Glyphosatverbotes. Vor diesem Hintergrund sollten Betriebe</w:t>
      </w:r>
      <w:r w:rsidR="00237B27">
        <w:rPr>
          <w:rFonts w:ascii="Arial" w:hAnsi="Arial" w:cs="Arial"/>
          <w:sz w:val="22"/>
          <w:szCs w:val="22"/>
        </w:rPr>
        <w:t xml:space="preserve">, die den Berechnungsansatz der LWK nutzen, </w:t>
      </w:r>
      <w:r w:rsidR="005066E0" w:rsidRPr="005066E0">
        <w:rPr>
          <w:rFonts w:ascii="Arial" w:hAnsi="Arial" w:cs="Arial"/>
          <w:sz w:val="22"/>
          <w:szCs w:val="22"/>
        </w:rPr>
        <w:t xml:space="preserve">auch </w:t>
      </w:r>
      <w:r w:rsidR="002D2A69">
        <w:rPr>
          <w:rFonts w:ascii="Arial" w:hAnsi="Arial" w:cs="Arial"/>
          <w:sz w:val="22"/>
          <w:szCs w:val="22"/>
        </w:rPr>
        <w:t xml:space="preserve">den </w:t>
      </w:r>
      <w:r w:rsidR="005066E0" w:rsidRPr="005066E0">
        <w:rPr>
          <w:rFonts w:ascii="Arial" w:hAnsi="Arial" w:cs="Arial"/>
          <w:sz w:val="22"/>
          <w:szCs w:val="22"/>
        </w:rPr>
        <w:t xml:space="preserve">Versuch von WVU zurückweisen, Auskunft über die betriebsindividuelle Bodenbearbeitungsschritte </w:t>
      </w:r>
      <w:r w:rsidR="002D2A69">
        <w:rPr>
          <w:rFonts w:ascii="Arial" w:hAnsi="Arial" w:cs="Arial"/>
          <w:sz w:val="22"/>
          <w:szCs w:val="22"/>
        </w:rPr>
        <w:t xml:space="preserve">zu </w:t>
      </w:r>
      <w:r w:rsidR="005066E0" w:rsidRPr="005066E0">
        <w:rPr>
          <w:rFonts w:ascii="Arial" w:hAnsi="Arial" w:cs="Arial"/>
          <w:sz w:val="22"/>
          <w:szCs w:val="22"/>
        </w:rPr>
        <w:t xml:space="preserve">verlangen. </w:t>
      </w:r>
    </w:p>
    <w:p w14:paraId="399FD1F7" w14:textId="77777777" w:rsidR="0068340F" w:rsidRPr="005066E0" w:rsidRDefault="0068340F" w:rsidP="00A433B8">
      <w:pPr>
        <w:pStyle w:val="StandardWeb"/>
        <w:rPr>
          <w:rStyle w:val="Fett"/>
          <w:b w:val="0"/>
          <w:bCs w:val="0"/>
        </w:rPr>
      </w:pPr>
    </w:p>
    <w:p w14:paraId="4346B07F" w14:textId="77777777" w:rsidR="0068340F" w:rsidRPr="005066E0" w:rsidRDefault="0068340F" w:rsidP="00A433B8">
      <w:pPr>
        <w:pStyle w:val="StandardWeb"/>
        <w:rPr>
          <w:rStyle w:val="Fett"/>
          <w:b w:val="0"/>
          <w:bCs w:val="0"/>
        </w:rPr>
      </w:pPr>
    </w:p>
    <w:p w14:paraId="09EDC1B8" w14:textId="77777777" w:rsidR="00792D76" w:rsidRPr="005066E0" w:rsidRDefault="00792D76"/>
    <w:sectPr w:rsidR="00792D76" w:rsidRPr="005066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8C"/>
    <w:rsid w:val="00012DD4"/>
    <w:rsid w:val="00023114"/>
    <w:rsid w:val="00046CF0"/>
    <w:rsid w:val="000B4958"/>
    <w:rsid w:val="000C2921"/>
    <w:rsid w:val="001855AE"/>
    <w:rsid w:val="001A1986"/>
    <w:rsid w:val="00237B27"/>
    <w:rsid w:val="00253260"/>
    <w:rsid w:val="002A32DC"/>
    <w:rsid w:val="002B4F1D"/>
    <w:rsid w:val="002C1A30"/>
    <w:rsid w:val="002D2A69"/>
    <w:rsid w:val="002F6B4F"/>
    <w:rsid w:val="003D2610"/>
    <w:rsid w:val="003F5CA2"/>
    <w:rsid w:val="00447667"/>
    <w:rsid w:val="004632B7"/>
    <w:rsid w:val="005066E0"/>
    <w:rsid w:val="00512814"/>
    <w:rsid w:val="00542FD4"/>
    <w:rsid w:val="00581AE9"/>
    <w:rsid w:val="00586EF0"/>
    <w:rsid w:val="005E73F5"/>
    <w:rsid w:val="005F62ED"/>
    <w:rsid w:val="005F62F1"/>
    <w:rsid w:val="0068340F"/>
    <w:rsid w:val="00694825"/>
    <w:rsid w:val="006C2C4C"/>
    <w:rsid w:val="006E03C9"/>
    <w:rsid w:val="006E36A6"/>
    <w:rsid w:val="007221EF"/>
    <w:rsid w:val="00756D8A"/>
    <w:rsid w:val="00792D76"/>
    <w:rsid w:val="007C5A98"/>
    <w:rsid w:val="007F4C3B"/>
    <w:rsid w:val="00807F8D"/>
    <w:rsid w:val="00826D4C"/>
    <w:rsid w:val="00851C4E"/>
    <w:rsid w:val="00895E31"/>
    <w:rsid w:val="0094157D"/>
    <w:rsid w:val="00947C13"/>
    <w:rsid w:val="00A15916"/>
    <w:rsid w:val="00A433B8"/>
    <w:rsid w:val="00A54C0A"/>
    <w:rsid w:val="00A84AF3"/>
    <w:rsid w:val="00AE4E6F"/>
    <w:rsid w:val="00B019A4"/>
    <w:rsid w:val="00B20360"/>
    <w:rsid w:val="00B84796"/>
    <w:rsid w:val="00BA7A6A"/>
    <w:rsid w:val="00BA7D6A"/>
    <w:rsid w:val="00BF315C"/>
    <w:rsid w:val="00C05943"/>
    <w:rsid w:val="00C71814"/>
    <w:rsid w:val="00C9733C"/>
    <w:rsid w:val="00CC402A"/>
    <w:rsid w:val="00D1101C"/>
    <w:rsid w:val="00D717A2"/>
    <w:rsid w:val="00E37116"/>
    <w:rsid w:val="00E51F3C"/>
    <w:rsid w:val="00E53E8C"/>
    <w:rsid w:val="00E75400"/>
    <w:rsid w:val="00F64942"/>
    <w:rsid w:val="00F672F5"/>
    <w:rsid w:val="00FB3D3C"/>
    <w:rsid w:val="00FB642A"/>
    <w:rsid w:val="00FD40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39E4"/>
  <w15:chartTrackingRefBased/>
  <w15:docId w15:val="{C699B873-63F1-4840-86C1-91DFA6DB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A32DC"/>
    <w:rPr>
      <w:b/>
      <w:bCs/>
    </w:rPr>
  </w:style>
  <w:style w:type="paragraph" w:styleId="StandardWeb">
    <w:name w:val="Normal (Web)"/>
    <w:basedOn w:val="Standard"/>
    <w:uiPriority w:val="99"/>
    <w:unhideWhenUsed/>
    <w:rsid w:val="0051281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Flietext295pt">
    <w:name w:val="Fließtext (2) + 9;5 pt"/>
    <w:basedOn w:val="Absatz-Standardschriftart"/>
    <w:rsid w:val="00826D4C"/>
    <w:rPr>
      <w:rFonts w:ascii="Arial" w:eastAsia="Arial" w:hAnsi="Arial" w:cs="Arial"/>
      <w:color w:val="000000"/>
      <w:spacing w:val="0"/>
      <w:w w:val="100"/>
      <w:position w:val="0"/>
      <w:sz w:val="19"/>
      <w:szCs w:val="19"/>
      <w:shd w:val="clear" w:color="auto" w:fill="FFFFFF"/>
      <w:lang w:val="de-DE" w:eastAsia="de-DE" w:bidi="de-DE"/>
    </w:rPr>
  </w:style>
  <w:style w:type="character" w:styleId="Hyperlink">
    <w:name w:val="Hyperlink"/>
    <w:basedOn w:val="Absatz-Standardschriftart"/>
    <w:uiPriority w:val="99"/>
    <w:unhideWhenUsed/>
    <w:rsid w:val="00826D4C"/>
    <w:rPr>
      <w:color w:val="0563C1" w:themeColor="hyperlink"/>
      <w:u w:val="single"/>
    </w:rPr>
  </w:style>
  <w:style w:type="character" w:styleId="NichtaufgelsteErwhnung">
    <w:name w:val="Unresolved Mention"/>
    <w:basedOn w:val="Absatz-Standardschriftart"/>
    <w:uiPriority w:val="99"/>
    <w:semiHidden/>
    <w:unhideWhenUsed/>
    <w:rsid w:val="00826D4C"/>
    <w:rPr>
      <w:color w:val="605E5C"/>
      <w:shd w:val="clear" w:color="auto" w:fill="E1DFDD"/>
    </w:rPr>
  </w:style>
  <w:style w:type="character" w:styleId="BesuchterLink">
    <w:name w:val="FollowedHyperlink"/>
    <w:basedOn w:val="Absatz-Standardschriftart"/>
    <w:uiPriority w:val="99"/>
    <w:semiHidden/>
    <w:unhideWhenUsed/>
    <w:rsid w:val="001855AE"/>
    <w:rPr>
      <w:color w:val="954F72" w:themeColor="followedHyperlink"/>
      <w:u w:val="single"/>
    </w:rPr>
  </w:style>
  <w:style w:type="paragraph" w:styleId="berarbeitung">
    <w:name w:val="Revision"/>
    <w:hidden/>
    <w:uiPriority w:val="99"/>
    <w:semiHidden/>
    <w:rsid w:val="006E3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327655">
      <w:bodyDiv w:val="1"/>
      <w:marLeft w:val="0"/>
      <w:marRight w:val="0"/>
      <w:marTop w:val="0"/>
      <w:marBottom w:val="0"/>
      <w:divBdr>
        <w:top w:val="none" w:sz="0" w:space="0" w:color="auto"/>
        <w:left w:val="none" w:sz="0" w:space="0" w:color="auto"/>
        <w:bottom w:val="none" w:sz="0" w:space="0" w:color="auto"/>
        <w:right w:val="none" w:sz="0" w:space="0" w:color="auto"/>
      </w:divBdr>
    </w:div>
    <w:div w:id="805850714">
      <w:bodyDiv w:val="1"/>
      <w:marLeft w:val="0"/>
      <w:marRight w:val="0"/>
      <w:marTop w:val="0"/>
      <w:marBottom w:val="0"/>
      <w:divBdr>
        <w:top w:val="none" w:sz="0" w:space="0" w:color="auto"/>
        <w:left w:val="none" w:sz="0" w:space="0" w:color="auto"/>
        <w:bottom w:val="none" w:sz="0" w:space="0" w:color="auto"/>
        <w:right w:val="none" w:sz="0" w:space="0" w:color="auto"/>
      </w:divBdr>
    </w:div>
    <w:div w:id="865799404">
      <w:bodyDiv w:val="1"/>
      <w:marLeft w:val="0"/>
      <w:marRight w:val="0"/>
      <w:marTop w:val="0"/>
      <w:marBottom w:val="0"/>
      <w:divBdr>
        <w:top w:val="none" w:sz="0" w:space="0" w:color="auto"/>
        <w:left w:val="none" w:sz="0" w:space="0" w:color="auto"/>
        <w:bottom w:val="none" w:sz="0" w:space="0" w:color="auto"/>
        <w:right w:val="none" w:sz="0" w:space="0" w:color="auto"/>
      </w:divBdr>
    </w:div>
    <w:div w:id="962349480">
      <w:bodyDiv w:val="1"/>
      <w:marLeft w:val="0"/>
      <w:marRight w:val="0"/>
      <w:marTop w:val="0"/>
      <w:marBottom w:val="0"/>
      <w:divBdr>
        <w:top w:val="none" w:sz="0" w:space="0" w:color="auto"/>
        <w:left w:val="none" w:sz="0" w:space="0" w:color="auto"/>
        <w:bottom w:val="none" w:sz="0" w:space="0" w:color="auto"/>
        <w:right w:val="none" w:sz="0" w:space="0" w:color="auto"/>
      </w:divBdr>
    </w:div>
    <w:div w:id="96292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uengebehoerde-niedersachsen.de/duengebehoerde/news/41058_Ausgleich_fuer_Glyphosatverbot_in_Wasserschutzgebiet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8846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Hartmut Schlepps</dc:creator>
  <cp:keywords/>
  <dc:description/>
  <cp:lastModifiedBy>Joachim Hasberg</cp:lastModifiedBy>
  <cp:revision>4</cp:revision>
  <cp:lastPrinted>2026-03-05T11:59:00Z</cp:lastPrinted>
  <dcterms:created xsi:type="dcterms:W3CDTF">2026-03-10T09:09:00Z</dcterms:created>
  <dcterms:modified xsi:type="dcterms:W3CDTF">2026-03-10T10:10:00Z</dcterms:modified>
</cp:coreProperties>
</file>